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E2E4" w14:textId="77777777" w:rsidR="00685CB6" w:rsidRDefault="00FD6E9B">
      <w:pPr>
        <w:pStyle w:val="likeheader"/>
      </w:pPr>
      <w:r>
        <w:t xml:space="preserve">OMB No. 0925-0001 and 0925-0002 (Rev. 10/2021 Approved Through 01/31/2026) </w:t>
      </w:r>
      <w:r w:rsidR="001B57C8" w:rsidRPr="001B57C8">
        <w:rPr>
          <w:noProof/>
          <w:bdr w:val="none" w:sz="0" w:space="0" w:color="auto"/>
        </w:rPr>
        <w:pict w14:anchorId="5742FE0B">
          <v:rect id="_x0000_i1025" alt="" style="width:468pt;height:.05pt;mso-width-percent:0;mso-height-percent:0;mso-width-percent:0;mso-height-percent:0" o:hralign="center" o:hrstd="t" o:hr="t" fillcolor="gray" stroked="f">
            <v:path strokeok="f"/>
          </v:rect>
        </w:pict>
      </w:r>
    </w:p>
    <w:p w14:paraId="135C294F" w14:textId="77777777" w:rsidR="00685CB6" w:rsidRDefault="00FD6E9B">
      <w:pPr>
        <w:pStyle w:val="h3center"/>
      </w:pPr>
      <w:r>
        <w:rPr>
          <w:rFonts w:ascii="Arial" w:eastAsia="Arial" w:hAnsi="Arial" w:cs="Arial"/>
          <w:sz w:val="26"/>
          <w:szCs w:val="26"/>
        </w:rPr>
        <w:t>BIOGRAPHICAL SKETCH</w:t>
      </w:r>
    </w:p>
    <w:p w14:paraId="51A9856E" w14:textId="77777777" w:rsidR="00685CB6" w:rsidRDefault="00FD6E9B">
      <w:pPr>
        <w:jc w:val="center"/>
      </w:pPr>
      <w:r>
        <w:rPr>
          <w:sz w:val="16"/>
          <w:szCs w:val="16"/>
        </w:rPr>
        <w:t>Provide the following information for the Senior/key personnel and other significant contributors.</w:t>
      </w:r>
    </w:p>
    <w:p w14:paraId="6F709C9B" w14:textId="77777777" w:rsidR="00685CB6" w:rsidRDefault="00FD6E9B">
      <w:pPr>
        <w:spacing w:after="75"/>
        <w:jc w:val="center"/>
      </w:pPr>
      <w:r>
        <w:rPr>
          <w:sz w:val="16"/>
          <w:szCs w:val="16"/>
        </w:rP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685CB6" w14:paraId="5EF79BB3" w14:textId="77777777">
        <w:tc>
          <w:tcPr>
            <w:tcW w:w="4530" w:type="dxa"/>
            <w:tcBorders>
              <w:top w:val="inset" w:sz="6" w:space="0" w:color="808080"/>
              <w:bottom w:val="single" w:sz="6" w:space="0" w:color="000000"/>
            </w:tcBorders>
            <w:tcMar>
              <w:top w:w="15" w:type="dxa"/>
              <w:left w:w="15" w:type="dxa"/>
              <w:bottom w:w="15" w:type="dxa"/>
              <w:right w:w="15" w:type="dxa"/>
            </w:tcMar>
          </w:tcPr>
          <w:p w14:paraId="4E34E9BB" w14:textId="77777777" w:rsidR="00685CB6" w:rsidRDefault="00FD6E9B">
            <w:r>
              <w:t>NAME: Morrison, James</w:t>
            </w:r>
          </w:p>
        </w:tc>
      </w:tr>
      <w:tr w:rsidR="00685CB6" w14:paraId="61168CE0" w14:textId="77777777">
        <w:tc>
          <w:tcPr>
            <w:tcW w:w="0" w:type="auto"/>
            <w:tcBorders>
              <w:top w:val="inset" w:sz="6" w:space="0" w:color="808080"/>
              <w:bottom w:val="single" w:sz="6" w:space="0" w:color="000000"/>
            </w:tcBorders>
            <w:tcMar>
              <w:top w:w="15" w:type="dxa"/>
              <w:left w:w="15" w:type="dxa"/>
              <w:bottom w:w="15" w:type="dxa"/>
              <w:right w:w="15" w:type="dxa"/>
            </w:tcMar>
          </w:tcPr>
          <w:p w14:paraId="5C1D0A07" w14:textId="77777777" w:rsidR="00685CB6" w:rsidRDefault="00FD6E9B">
            <w:r>
              <w:t>eRA COMMONS USER NAME (credential, e.g., agency login): 12104422</w:t>
            </w:r>
          </w:p>
        </w:tc>
      </w:tr>
      <w:tr w:rsidR="00685CB6" w14:paraId="36D4CD43" w14:textId="77777777">
        <w:tc>
          <w:tcPr>
            <w:tcW w:w="0" w:type="auto"/>
            <w:tcBorders>
              <w:top w:val="inset" w:sz="6" w:space="0" w:color="808080"/>
              <w:bottom w:val="single" w:sz="6" w:space="0" w:color="000000"/>
            </w:tcBorders>
            <w:tcMar>
              <w:top w:w="15" w:type="dxa"/>
              <w:left w:w="15" w:type="dxa"/>
              <w:bottom w:w="15" w:type="dxa"/>
              <w:right w:w="15" w:type="dxa"/>
            </w:tcMar>
          </w:tcPr>
          <w:p w14:paraId="39276184" w14:textId="77777777" w:rsidR="00685CB6" w:rsidRDefault="00FD6E9B">
            <w:r>
              <w:t>POSITION TITLE: Research Scientist</w:t>
            </w:r>
          </w:p>
        </w:tc>
      </w:tr>
    </w:tbl>
    <w:p w14:paraId="1CD341AF" w14:textId="77777777" w:rsidR="00685CB6" w:rsidRDefault="00FD6E9B">
      <w:pPr>
        <w:pStyle w:val="sectionEducationsectionHeader"/>
      </w:pPr>
      <w:r>
        <w:t xml:space="preserve">EDUCATION/TRAINING </w:t>
      </w:r>
      <w:r>
        <w:rPr>
          <w:i/>
          <w:iCs/>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5356"/>
        <w:gridCol w:w="1605"/>
        <w:gridCol w:w="1370"/>
        <w:gridCol w:w="2469"/>
      </w:tblGrid>
      <w:tr w:rsidR="00D4351A" w14:paraId="7E2115EC" w14:textId="77777777">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6F8B8ED8" w14:textId="77777777" w:rsidR="00685CB6" w:rsidRDefault="00FD6E9B">
            <w:pPr>
              <w:jc w:val="center"/>
            </w:pPr>
            <w: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57F3DE1E" w14:textId="77777777" w:rsidR="00685CB6" w:rsidRDefault="00FD6E9B">
            <w:pPr>
              <w:jc w:val="center"/>
            </w:pPr>
            <w:r>
              <w:t>DEGREE</w:t>
            </w:r>
            <w: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419D0315" w14:textId="77777777" w:rsidR="00685CB6" w:rsidRDefault="00FD6E9B">
            <w:pPr>
              <w:jc w:val="center"/>
            </w:pPr>
            <w:r>
              <w:t>END DATE</w:t>
            </w:r>
            <w: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3F8C22D5" w14:textId="77777777" w:rsidR="00685CB6" w:rsidRDefault="00FD6E9B">
            <w:pPr>
              <w:jc w:val="center"/>
            </w:pPr>
            <w:r>
              <w:t>FIELD OF STUDY</w:t>
            </w:r>
          </w:p>
        </w:tc>
      </w:tr>
      <w:tr w:rsidR="00D4351A" w14:paraId="537A9386" w14:textId="77777777">
        <w:tc>
          <w:tcPr>
            <w:tcW w:w="0" w:type="auto"/>
            <w:tcBorders>
              <w:right w:val="single" w:sz="6" w:space="0" w:color="000000"/>
            </w:tcBorders>
            <w:tcMar>
              <w:top w:w="15" w:type="dxa"/>
              <w:left w:w="15" w:type="dxa"/>
              <w:bottom w:w="15" w:type="dxa"/>
              <w:right w:w="15" w:type="dxa"/>
            </w:tcMar>
          </w:tcPr>
          <w:p w14:paraId="5653090D" w14:textId="77777777" w:rsidR="00685CB6" w:rsidRDefault="00FD6E9B">
            <w:r>
              <w:t>St. Olaf College, Northfield, MN</w:t>
            </w:r>
          </w:p>
        </w:tc>
        <w:tc>
          <w:tcPr>
            <w:tcW w:w="0" w:type="auto"/>
            <w:tcBorders>
              <w:left w:val="inset" w:sz="6" w:space="0" w:color="808080"/>
              <w:right w:val="single" w:sz="6" w:space="0" w:color="000000"/>
            </w:tcBorders>
            <w:tcMar>
              <w:top w:w="15" w:type="dxa"/>
              <w:left w:w="15" w:type="dxa"/>
              <w:bottom w:w="15" w:type="dxa"/>
              <w:right w:w="15" w:type="dxa"/>
            </w:tcMar>
          </w:tcPr>
          <w:p w14:paraId="4A8F1D66" w14:textId="77777777" w:rsidR="00685CB6" w:rsidRDefault="00FD6E9B">
            <w:pPr>
              <w:jc w:val="center"/>
            </w:pPr>
            <w:r>
              <w:t>BA</w:t>
            </w:r>
          </w:p>
        </w:tc>
        <w:tc>
          <w:tcPr>
            <w:tcW w:w="0" w:type="auto"/>
            <w:tcBorders>
              <w:left w:val="inset" w:sz="6" w:space="0" w:color="808080"/>
              <w:right w:val="single" w:sz="6" w:space="0" w:color="000000"/>
            </w:tcBorders>
            <w:tcMar>
              <w:top w:w="15" w:type="dxa"/>
              <w:left w:w="15" w:type="dxa"/>
              <w:bottom w:w="15" w:type="dxa"/>
              <w:right w:w="15" w:type="dxa"/>
            </w:tcMar>
          </w:tcPr>
          <w:p w14:paraId="6F67BE8C" w14:textId="77777777" w:rsidR="00685CB6" w:rsidRDefault="00FD6E9B">
            <w:pPr>
              <w:jc w:val="center"/>
            </w:pPr>
            <w:r>
              <w:t>05/2007</w:t>
            </w:r>
          </w:p>
        </w:tc>
        <w:tc>
          <w:tcPr>
            <w:tcW w:w="0" w:type="auto"/>
            <w:tcBorders>
              <w:left w:val="inset" w:sz="6" w:space="0" w:color="808080"/>
            </w:tcBorders>
            <w:tcMar>
              <w:top w:w="15" w:type="dxa"/>
              <w:left w:w="15" w:type="dxa"/>
              <w:bottom w:w="15" w:type="dxa"/>
              <w:right w:w="15" w:type="dxa"/>
            </w:tcMar>
          </w:tcPr>
          <w:p w14:paraId="7A0601A8" w14:textId="77777777" w:rsidR="00685CB6" w:rsidRDefault="00FD6E9B">
            <w:r>
              <w:t>Biology/Mathematics</w:t>
            </w:r>
          </w:p>
        </w:tc>
      </w:tr>
      <w:tr w:rsidR="00D4351A" w14:paraId="6C433E51" w14:textId="77777777">
        <w:tc>
          <w:tcPr>
            <w:tcW w:w="0" w:type="auto"/>
            <w:tcBorders>
              <w:right w:val="single" w:sz="6" w:space="0" w:color="000000"/>
            </w:tcBorders>
            <w:tcMar>
              <w:top w:w="15" w:type="dxa"/>
              <w:left w:w="15" w:type="dxa"/>
              <w:bottom w:w="15" w:type="dxa"/>
              <w:right w:w="15" w:type="dxa"/>
            </w:tcMar>
          </w:tcPr>
          <w:p w14:paraId="207A6182" w14:textId="77777777" w:rsidR="00685CB6" w:rsidRDefault="00FD6E9B">
            <w:r>
              <w:t>Mayo Clinic Graduate School, Rochester, MN</w:t>
            </w:r>
          </w:p>
        </w:tc>
        <w:tc>
          <w:tcPr>
            <w:tcW w:w="0" w:type="auto"/>
            <w:tcBorders>
              <w:left w:val="inset" w:sz="6" w:space="0" w:color="808080"/>
              <w:right w:val="single" w:sz="6" w:space="0" w:color="000000"/>
            </w:tcBorders>
            <w:tcMar>
              <w:top w:w="15" w:type="dxa"/>
              <w:left w:w="15" w:type="dxa"/>
              <w:bottom w:w="15" w:type="dxa"/>
              <w:right w:w="15" w:type="dxa"/>
            </w:tcMar>
          </w:tcPr>
          <w:p w14:paraId="11FB8C4D" w14:textId="77777777" w:rsidR="00685CB6" w:rsidRDefault="00FD6E9B">
            <w:pPr>
              <w:jc w:val="center"/>
            </w:pPr>
            <w:r>
              <w:t>PHD</w:t>
            </w:r>
          </w:p>
        </w:tc>
        <w:tc>
          <w:tcPr>
            <w:tcW w:w="0" w:type="auto"/>
            <w:tcBorders>
              <w:left w:val="inset" w:sz="6" w:space="0" w:color="808080"/>
              <w:right w:val="single" w:sz="6" w:space="0" w:color="000000"/>
            </w:tcBorders>
            <w:tcMar>
              <w:top w:w="15" w:type="dxa"/>
              <w:left w:w="15" w:type="dxa"/>
              <w:bottom w:w="15" w:type="dxa"/>
              <w:right w:w="15" w:type="dxa"/>
            </w:tcMar>
          </w:tcPr>
          <w:p w14:paraId="7A4211CD" w14:textId="77777777" w:rsidR="00685CB6" w:rsidRDefault="00FD6E9B">
            <w:pPr>
              <w:jc w:val="center"/>
            </w:pPr>
            <w:r>
              <w:t>04/2013</w:t>
            </w:r>
          </w:p>
        </w:tc>
        <w:tc>
          <w:tcPr>
            <w:tcW w:w="0" w:type="auto"/>
            <w:tcBorders>
              <w:left w:val="inset" w:sz="6" w:space="0" w:color="808080"/>
            </w:tcBorders>
            <w:tcMar>
              <w:top w:w="15" w:type="dxa"/>
              <w:left w:w="15" w:type="dxa"/>
              <w:bottom w:w="15" w:type="dxa"/>
              <w:right w:w="15" w:type="dxa"/>
            </w:tcMar>
          </w:tcPr>
          <w:p w14:paraId="53B1EFA4" w14:textId="37885EA5" w:rsidR="00685CB6" w:rsidRDefault="00FD6E9B">
            <w:r>
              <w:t>Virology</w:t>
            </w:r>
          </w:p>
        </w:tc>
      </w:tr>
    </w:tbl>
    <w:p w14:paraId="6ABA9E29" w14:textId="77777777" w:rsidR="00685CB6" w:rsidRPr="00951216" w:rsidRDefault="00FD6E9B">
      <w:pPr>
        <w:pStyle w:val="Heading3"/>
        <w:rPr>
          <w:sz w:val="22"/>
          <w:szCs w:val="22"/>
        </w:rPr>
      </w:pPr>
      <w:r w:rsidRPr="00951216">
        <w:rPr>
          <w:rFonts w:ascii="Arial" w:eastAsia="Arial" w:hAnsi="Arial" w:cs="Arial"/>
          <w:sz w:val="22"/>
          <w:szCs w:val="22"/>
        </w:rPr>
        <w:t>A. Personal Statement</w:t>
      </w:r>
    </w:p>
    <w:p w14:paraId="7DFAB651" w14:textId="77777777" w:rsidR="00155F06" w:rsidRDefault="00155F06" w:rsidP="00155F06">
      <w:pPr>
        <w:pStyle w:val="annotation"/>
      </w:pPr>
      <w:r>
        <w:t>I am a Research Scientist and my main interests are mammalian innate immunity and host-virus nucleic acid and protein interactions. I have worked on the co-evolved interactions between viral pathogens and host factors, including both viral dependency proteins and innate immune restriction factors. My doctoral thesis work focused on understanding the dependence of HIV-1 upon the host protein LEDGF/p75 and characterization of retroviral antagonism of the host antiviral factor tetherin. This work continued throughout my post-doc and junior faculty position and expanded to include additional collaborative studies of cellular defensive engagement of viral genomes and proteins, host discrimination between viral and host RNAs in the case of MDA5 and more recently ADAR1, molecular barriers to viral zoonosis, and the mechanisms and consequences of viral endogenization. I have contributed to high quality manuscripts in a variety of innate immune studies including characterization of the unique RdRp</w:t>
      </w:r>
      <w:r w:rsidRPr="001A6E50">
        <w:rPr>
          <w:vertAlign w:val="superscript"/>
        </w:rPr>
        <w:t>tg</w:t>
      </w:r>
      <w:r>
        <w:t xml:space="preserve"> mouse model of continuous innate (MDA5-MAVS pathway) immune signaling, identification of LEDGF and SEC24C as fundamental HIV-1 dependency factors, characterization of retroviral specific cell-autonomous antiviral defenses of a biologically and virologically important bat species, and established and performed numerous SARS-CoV-2 live virus replication assays in primary and immortalized culture systems under BSL3 conditions. Species-specific differences in host protein and how both virus and host evolve and counter-evolve (the Red Queen scenario) are of great interest to me.</w:t>
      </w:r>
    </w:p>
    <w:p w14:paraId="1F1E9157" w14:textId="77777777" w:rsidR="00685CB6" w:rsidRPr="00951216" w:rsidRDefault="00FD6E9B">
      <w:pPr>
        <w:pStyle w:val="Heading3"/>
        <w:rPr>
          <w:sz w:val="22"/>
          <w:szCs w:val="22"/>
        </w:rPr>
      </w:pPr>
      <w:r w:rsidRPr="00951216">
        <w:rPr>
          <w:rFonts w:ascii="Arial" w:eastAsia="Arial" w:hAnsi="Arial" w:cs="Arial"/>
          <w:sz w:val="22"/>
          <w:szCs w:val="22"/>
        </w:rPr>
        <w:t>B. Positions, Scientific Appointments and Honors</w:t>
      </w:r>
    </w:p>
    <w:p w14:paraId="72BA6D60" w14:textId="77777777" w:rsidR="00685CB6" w:rsidRPr="00951216" w:rsidRDefault="00FD6E9B">
      <w:pPr>
        <w:pStyle w:val="h3underline"/>
        <w:rPr>
          <w:sz w:val="22"/>
          <w:szCs w:val="22"/>
        </w:rPr>
      </w:pPr>
      <w:r w:rsidRPr="00951216">
        <w:rPr>
          <w:rFonts w:ascii="Arial" w:eastAsia="Arial" w:hAnsi="Arial" w:cs="Arial"/>
          <w:sz w:val="22"/>
          <w:szCs w:val="22"/>
        </w:rPr>
        <w:t>Positions and Scientific Appointments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685CB6" w:rsidRPr="00951216" w14:paraId="331E7F02" w14:textId="77777777">
        <w:tc>
          <w:tcPr>
            <w:tcW w:w="1530" w:type="dxa"/>
            <w:tcMar>
              <w:top w:w="15" w:type="dxa"/>
              <w:left w:w="15" w:type="dxa"/>
              <w:bottom w:w="15" w:type="dxa"/>
              <w:right w:w="15" w:type="dxa"/>
            </w:tcMar>
          </w:tcPr>
          <w:p w14:paraId="7502F39C" w14:textId="69538043" w:rsidR="00685CB6" w:rsidRPr="00951216" w:rsidRDefault="00FD6E9B">
            <w:r w:rsidRPr="00951216">
              <w:t xml:space="preserve">2014 - </w:t>
            </w:r>
            <w:r w:rsidR="00226BBC" w:rsidRPr="00951216">
              <w:t>present</w:t>
            </w:r>
          </w:p>
        </w:tc>
        <w:tc>
          <w:tcPr>
            <w:tcW w:w="0" w:type="auto"/>
            <w:tcMar>
              <w:top w:w="15" w:type="dxa"/>
              <w:left w:w="15" w:type="dxa"/>
              <w:bottom w:w="15" w:type="dxa"/>
              <w:right w:w="15" w:type="dxa"/>
            </w:tcMar>
          </w:tcPr>
          <w:p w14:paraId="0D488B8E" w14:textId="77777777" w:rsidR="00685CB6" w:rsidRPr="00951216" w:rsidRDefault="00FD6E9B">
            <w:r w:rsidRPr="00951216">
              <w:t>Research Scientist, University of Colorado - Anschutz Medical Campus, Aurora, CO</w:t>
            </w:r>
          </w:p>
        </w:tc>
      </w:tr>
      <w:tr w:rsidR="00685CB6" w:rsidRPr="00951216" w14:paraId="59FECB4B" w14:textId="77777777">
        <w:tc>
          <w:tcPr>
            <w:tcW w:w="1530" w:type="dxa"/>
            <w:tcMar>
              <w:top w:w="15" w:type="dxa"/>
              <w:left w:w="15" w:type="dxa"/>
              <w:bottom w:w="15" w:type="dxa"/>
              <w:right w:w="15" w:type="dxa"/>
            </w:tcMar>
          </w:tcPr>
          <w:p w14:paraId="33FB40F3" w14:textId="77777777" w:rsidR="00685CB6" w:rsidRPr="00951216" w:rsidRDefault="00FD6E9B">
            <w:r w:rsidRPr="00951216">
              <w:t>2013 - 2014</w:t>
            </w:r>
          </w:p>
        </w:tc>
        <w:tc>
          <w:tcPr>
            <w:tcW w:w="0" w:type="auto"/>
            <w:tcMar>
              <w:top w:w="15" w:type="dxa"/>
              <w:left w:w="15" w:type="dxa"/>
              <w:bottom w:w="15" w:type="dxa"/>
              <w:right w:w="15" w:type="dxa"/>
            </w:tcMar>
          </w:tcPr>
          <w:p w14:paraId="48F78038" w14:textId="77777777" w:rsidR="00685CB6" w:rsidRPr="00951216" w:rsidRDefault="00FD6E9B">
            <w:r w:rsidRPr="00951216">
              <w:t>Post-doctoral Research Fellow, Mayo Clinic, Rochester, MN</w:t>
            </w:r>
          </w:p>
        </w:tc>
      </w:tr>
    </w:tbl>
    <w:p w14:paraId="1EC9EC1E" w14:textId="15437909" w:rsidR="00685CB6" w:rsidRPr="00951216" w:rsidRDefault="00FD6E9B">
      <w:pPr>
        <w:pStyle w:val="Heading3"/>
        <w:rPr>
          <w:sz w:val="22"/>
          <w:szCs w:val="22"/>
        </w:rPr>
      </w:pPr>
      <w:r w:rsidRPr="00951216">
        <w:rPr>
          <w:rFonts w:ascii="Arial" w:eastAsia="Arial" w:hAnsi="Arial" w:cs="Arial"/>
          <w:sz w:val="22"/>
          <w:szCs w:val="22"/>
        </w:rPr>
        <w:t>C. Contribution</w:t>
      </w:r>
      <w:r w:rsidR="00951216" w:rsidRPr="00951216">
        <w:rPr>
          <w:rFonts w:ascii="Arial" w:eastAsia="Arial" w:hAnsi="Arial" w:cs="Arial"/>
          <w:sz w:val="22"/>
          <w:szCs w:val="22"/>
        </w:rPr>
        <w:t>s</w:t>
      </w:r>
      <w:r w:rsidRPr="00951216">
        <w:rPr>
          <w:rFonts w:ascii="Arial" w:eastAsia="Arial" w:hAnsi="Arial" w:cs="Arial"/>
          <w:sz w:val="22"/>
          <w:szCs w:val="22"/>
        </w:rPr>
        <w:t xml:space="preserve"> to Science</w:t>
      </w:r>
    </w:p>
    <w:p w14:paraId="4373F5A4" w14:textId="53BB6BE9" w:rsidR="00685CB6" w:rsidRPr="00951216" w:rsidRDefault="00C00392">
      <w:pPr>
        <w:pStyle w:val="annotation"/>
        <w:numPr>
          <w:ilvl w:val="0"/>
          <w:numId w:val="2"/>
        </w:numPr>
        <w:spacing w:before="220"/>
        <w:ind w:left="375"/>
      </w:pPr>
      <w:r w:rsidRPr="00951216">
        <w:rPr>
          <w:b/>
        </w:rPr>
        <w:t xml:space="preserve">Retroviral </w:t>
      </w:r>
      <w:r w:rsidR="0070235F" w:rsidRPr="00951216">
        <w:rPr>
          <w:b/>
        </w:rPr>
        <w:t xml:space="preserve">Host </w:t>
      </w:r>
      <w:r w:rsidR="00416A53" w:rsidRPr="00951216">
        <w:rPr>
          <w:b/>
        </w:rPr>
        <w:t xml:space="preserve">Dependency </w:t>
      </w:r>
      <w:r w:rsidR="0070235F" w:rsidRPr="00951216">
        <w:rPr>
          <w:b/>
        </w:rPr>
        <w:t>factors</w:t>
      </w:r>
      <w:r w:rsidR="005A6675" w:rsidRPr="00951216">
        <w:rPr>
          <w:b/>
        </w:rPr>
        <w:t xml:space="preserve">. </w:t>
      </w:r>
      <w:r w:rsidRPr="00951216">
        <w:t xml:space="preserve">My early doctoral work focused on the HIV-1 dependency factor LEDGF/p75 and the molecular mechanisms </w:t>
      </w:r>
      <w:r w:rsidR="00D85B70" w:rsidRPr="00951216">
        <w:t xml:space="preserve">we discovered </w:t>
      </w:r>
      <w:r w:rsidRPr="00951216">
        <w:t>by which this factor supports HIV-1 integration into host cell chromosomes. LEDGF enhances the efficiency of HIV-1 integration while also directing the pattern of integration within the genome to more transcriptionally favorable locations. Small molecule inhibitors of integration, including intasome inhibitors that can partially or completely block integrase engagement with LEDGF have become a clinically relevant part of antiretroviral therapy.</w:t>
      </w:r>
    </w:p>
    <w:p w14:paraId="68C264BC" w14:textId="77777777" w:rsidR="00FB4F94" w:rsidRPr="00951216" w:rsidRDefault="00FB4F94" w:rsidP="00FB4F94">
      <w:pPr>
        <w:pStyle w:val="annotation"/>
      </w:pPr>
    </w:p>
    <w:p w14:paraId="6525B5A4" w14:textId="0BFC4CA6" w:rsidR="00685CB6" w:rsidRPr="00951216" w:rsidRDefault="00FD6E9B">
      <w:pPr>
        <w:pStyle w:val="citationUlliParagraph"/>
        <w:numPr>
          <w:ilvl w:val="1"/>
          <w:numId w:val="2"/>
        </w:numPr>
        <w:ind w:left="750"/>
      </w:pPr>
      <w:r w:rsidRPr="00951216">
        <w:t xml:space="preserve">Meehan AM, Saenz DT, </w:t>
      </w:r>
      <w:r w:rsidRPr="00951216">
        <w:rPr>
          <w:b/>
        </w:rPr>
        <w:t>Morrison J</w:t>
      </w:r>
      <w:r w:rsidRPr="00951216">
        <w:t xml:space="preserve">, Hu C, Peretz M, Poeschla EM. LEDGF dominant interference proteins demonstrate prenuclear exposure of HIV-1 integrase and synergize with LEDGF depletion to destroy viral infectivity. </w:t>
      </w:r>
      <w:r w:rsidRPr="00951216">
        <w:rPr>
          <w:u w:val="single"/>
        </w:rPr>
        <w:t>J Virol</w:t>
      </w:r>
      <w:r w:rsidR="006B2B37" w:rsidRPr="00951216">
        <w:rPr>
          <w:u w:val="single"/>
        </w:rPr>
        <w:t>ogy</w:t>
      </w:r>
      <w:r w:rsidRPr="00951216">
        <w:t xml:space="preserve">. 2011 Apr;85(7):3570-83. PubMed Central PMCID: PMC3067863. </w:t>
      </w:r>
    </w:p>
    <w:p w14:paraId="72B64724" w14:textId="4E29A60A" w:rsidR="00685CB6" w:rsidRPr="00951216" w:rsidRDefault="00FD6E9B">
      <w:pPr>
        <w:pStyle w:val="citationUlliParagraph"/>
        <w:numPr>
          <w:ilvl w:val="1"/>
          <w:numId w:val="2"/>
        </w:numPr>
        <w:ind w:left="750"/>
      </w:pPr>
      <w:r w:rsidRPr="00951216">
        <w:t xml:space="preserve">Meehan AM, Saenz DT, </w:t>
      </w:r>
      <w:r w:rsidRPr="00951216">
        <w:rPr>
          <w:b/>
        </w:rPr>
        <w:t>Morrison JH</w:t>
      </w:r>
      <w:r w:rsidRPr="00951216">
        <w:t xml:space="preserve">, Garcia-Rivera JA, Peretz M, Llano M, Poeschla EM. LEDGF/p75 proteins with alternative chromatin tethers are functional HIV-1 cofactors. </w:t>
      </w:r>
      <w:r w:rsidRPr="00951216">
        <w:rPr>
          <w:u w:val="single"/>
        </w:rPr>
        <w:t>PLoS Pathog</w:t>
      </w:r>
      <w:r w:rsidR="006B2B37" w:rsidRPr="00951216">
        <w:rPr>
          <w:u w:val="single"/>
        </w:rPr>
        <w:t>ens</w:t>
      </w:r>
      <w:r w:rsidRPr="00951216">
        <w:t xml:space="preserve">. 2009 Jul;5(7):e1000522. PubMed Central PMCID: PMC2706977. </w:t>
      </w:r>
    </w:p>
    <w:p w14:paraId="55D425DD" w14:textId="77777777" w:rsidR="00685CB6" w:rsidRPr="00951216" w:rsidRDefault="00FD6E9B">
      <w:pPr>
        <w:pStyle w:val="citationUlliParagraph"/>
        <w:numPr>
          <w:ilvl w:val="1"/>
          <w:numId w:val="2"/>
        </w:numPr>
        <w:ind w:left="750"/>
      </w:pPr>
      <w:r w:rsidRPr="00951216">
        <w:lastRenderedPageBreak/>
        <w:t xml:space="preserve">Llano M, </w:t>
      </w:r>
      <w:r w:rsidRPr="00951216">
        <w:rPr>
          <w:b/>
        </w:rPr>
        <w:t>Morrison J</w:t>
      </w:r>
      <w:r w:rsidRPr="00951216">
        <w:t xml:space="preserve">, Poeschla EM. Virological and cellular roles of the transcriptional coactivator LEDGF/p75. </w:t>
      </w:r>
      <w:r w:rsidRPr="00951216">
        <w:rPr>
          <w:u w:val="single"/>
        </w:rPr>
        <w:t>Curr Top Microbiol Immunol</w:t>
      </w:r>
      <w:r w:rsidRPr="00951216">
        <w:t xml:space="preserve">. 2009;339:125-46. PubMed Central PMCID: PMC3093762. </w:t>
      </w:r>
    </w:p>
    <w:p w14:paraId="287088EA" w14:textId="77777777" w:rsidR="00464836" w:rsidRPr="00951216" w:rsidRDefault="00464836" w:rsidP="00464836">
      <w:pPr>
        <w:pStyle w:val="citationUlliParagraph"/>
        <w:numPr>
          <w:ilvl w:val="1"/>
          <w:numId w:val="2"/>
        </w:numPr>
        <w:ind w:left="750"/>
      </w:pPr>
      <w:r w:rsidRPr="00951216">
        <w:t xml:space="preserve">Meehan AM, Saenz DT, Guevera R, </w:t>
      </w:r>
      <w:r w:rsidRPr="00951216">
        <w:rPr>
          <w:b/>
        </w:rPr>
        <w:t>Morrison JH</w:t>
      </w:r>
      <w:r w:rsidRPr="00951216">
        <w:t xml:space="preserve">, Peretz M, Fadel HJ, Hamada M, van Deursen J, Poeschla EM. A cyclophilin homology domain-independent role for Nup358 in HIV-1 infection. </w:t>
      </w:r>
      <w:r w:rsidRPr="00951216">
        <w:rPr>
          <w:u w:val="single"/>
        </w:rPr>
        <w:t>PLoS Pathogens</w:t>
      </w:r>
      <w:r w:rsidRPr="00951216">
        <w:t xml:space="preserve">. 2014 Feb;10(2):e1003969. PubMed Central PMCID: PMC3930637. </w:t>
      </w:r>
    </w:p>
    <w:p w14:paraId="411ADCDF" w14:textId="748D5E76" w:rsidR="000773EB" w:rsidRPr="00951216" w:rsidRDefault="000773EB" w:rsidP="003161B9">
      <w:pPr>
        <w:pStyle w:val="citationUlliParagraph"/>
      </w:pPr>
    </w:p>
    <w:p w14:paraId="46BD7DCE" w14:textId="39C027B7" w:rsidR="00685CB6" w:rsidRPr="00951216" w:rsidRDefault="00C90699">
      <w:pPr>
        <w:pStyle w:val="annotation"/>
        <w:numPr>
          <w:ilvl w:val="0"/>
          <w:numId w:val="2"/>
        </w:numPr>
        <w:ind w:left="375"/>
      </w:pPr>
      <w:r w:rsidRPr="00951216">
        <w:rPr>
          <w:b/>
        </w:rPr>
        <w:t>Lentiviral restriction by Tetherin and HIV-1 capsid protein interactions with lenacapavir and SEC24C.</w:t>
      </w:r>
      <w:r w:rsidRPr="00951216">
        <w:t xml:space="preserve"> </w:t>
      </w:r>
      <w:r w:rsidR="00FD6E9B" w:rsidRPr="00951216">
        <w:t>In</w:t>
      </w:r>
      <w:r w:rsidRPr="00951216">
        <w:t xml:space="preserve"> parallel to the above work with HIV-1, </w:t>
      </w:r>
      <w:r w:rsidR="00F03A79" w:rsidRPr="00951216">
        <w:t xml:space="preserve">and as part of my interest in </w:t>
      </w:r>
      <w:r w:rsidR="00087184" w:rsidRPr="00951216">
        <w:t xml:space="preserve">a </w:t>
      </w:r>
      <w:r w:rsidR="00252A40" w:rsidRPr="00951216">
        <w:t>defining</w:t>
      </w:r>
      <w:r w:rsidR="00087184" w:rsidRPr="00951216">
        <w:t xml:space="preserve"> </w:t>
      </w:r>
      <w:r w:rsidR="00F03A79" w:rsidRPr="00951216">
        <w:t>hallmark of antiviral restriction (species-</w:t>
      </w:r>
      <w:r w:rsidR="00BE05B2" w:rsidRPr="00951216">
        <w:t xml:space="preserve"> and virus-</w:t>
      </w:r>
      <w:r w:rsidR="00F03A79" w:rsidRPr="00951216">
        <w:t>specificity)</w:t>
      </w:r>
      <w:r w:rsidR="00B94D09" w:rsidRPr="00951216">
        <w:t>,</w:t>
      </w:r>
      <w:r w:rsidR="00F03A79" w:rsidRPr="00951216">
        <w:t xml:space="preserve"> </w:t>
      </w:r>
      <w:r w:rsidRPr="00951216">
        <w:t xml:space="preserve">I also investigated the mechanism by which the </w:t>
      </w:r>
      <w:r w:rsidR="000515E6" w:rsidRPr="00951216">
        <w:t xml:space="preserve">nonprimate AIDS-causing </w:t>
      </w:r>
      <w:r w:rsidRPr="00951216">
        <w:t xml:space="preserve">Feline Immunodeficiency Virus (FIV) counteracts the host antiviral protein tetherin. Tetherin is a small interferon-inducible protein that physically restricts nascent viral particle egress from infected cells. Other lentiviruses including HIV-1 and SIVs counteract tetherin through encoded accessory genes Nef or Vpu by depletion of this factor from the plasma membrane to re-enable </w:t>
      </w:r>
      <w:r w:rsidR="00E01978" w:rsidRPr="00951216">
        <w:t>efficient</w:t>
      </w:r>
      <w:r w:rsidRPr="00951216">
        <w:t xml:space="preserve"> viral particle budding and release. FIV lacks both Nef and Vpu but encodes the longest signal sequence of all eukaryotic, prokaryotic and viral proteins, the reason for which is unknown. I have show</w:t>
      </w:r>
      <w:r w:rsidR="0032410F" w:rsidRPr="00951216">
        <w:t>n</w:t>
      </w:r>
      <w:r w:rsidRPr="00951216">
        <w:t xml:space="preserve"> that FIV does counteract tetherin through its Envelope gene and this specifically maps to the Envelope signal sequence. Unlike HIV-1 and SIV, FIV does not deplete tetherin from the cell surface and instead specifically prevents tetherin incorporation into FIV particles. The independent evolution of </w:t>
      </w:r>
      <w:r w:rsidR="000C5782" w:rsidRPr="00951216">
        <w:t>this completely different anti-tetherin</w:t>
      </w:r>
      <w:r w:rsidRPr="00951216">
        <w:t xml:space="preserve"> in FIV underscores the centrality of Tetherin to host defense against lentiviruses. Elongated Env signal peptides exist in other non-primate lentiviruses, which suggests this may be a conserved viral function that in part explains their apparently limited repertoire of accessory genes compared to the primate lentiviruses</w:t>
      </w:r>
      <w:r w:rsidR="00B6461A" w:rsidRPr="00951216">
        <w:t xml:space="preserve">. I also list below collaborative papers with the </w:t>
      </w:r>
      <w:r w:rsidR="00F02D70" w:rsidRPr="00951216">
        <w:t>Kvaratskhelia</w:t>
      </w:r>
      <w:r w:rsidR="00B6461A" w:rsidRPr="00951216">
        <w:t xml:space="preserve"> lab </w:t>
      </w:r>
      <w:r w:rsidR="00F02D70" w:rsidRPr="00951216">
        <w:t xml:space="preserve">here </w:t>
      </w:r>
      <w:r w:rsidR="00B6461A" w:rsidRPr="00951216">
        <w:t>on lenacapavir mechanism and the capsid</w:t>
      </w:r>
      <w:r w:rsidR="00F245E4" w:rsidRPr="00951216">
        <w:t>-</w:t>
      </w:r>
      <w:r w:rsidR="00B6461A" w:rsidRPr="00951216">
        <w:t>interacting protein SEC24C.</w:t>
      </w:r>
    </w:p>
    <w:p w14:paraId="1A3675B2" w14:textId="77777777" w:rsidR="00266A9F" w:rsidRPr="00951216" w:rsidRDefault="00266A9F" w:rsidP="00266A9F">
      <w:pPr>
        <w:pStyle w:val="annotation"/>
        <w:ind w:left="375"/>
      </w:pPr>
    </w:p>
    <w:p w14:paraId="6E901E9A" w14:textId="77777777" w:rsidR="00685CB6" w:rsidRPr="00951216" w:rsidRDefault="00FD6E9B">
      <w:pPr>
        <w:pStyle w:val="citationUlliParagraph"/>
        <w:numPr>
          <w:ilvl w:val="1"/>
          <w:numId w:val="3"/>
        </w:numPr>
        <w:ind w:left="750"/>
      </w:pPr>
      <w:r w:rsidRPr="00951216">
        <w:rPr>
          <w:b/>
        </w:rPr>
        <w:t>Morrison JH</w:t>
      </w:r>
      <w:r w:rsidRPr="00951216">
        <w:t xml:space="preserve">, Poeschla EM. The Feline Immunodeficiency Virus Envelope Signal Peptide Is a Tetherin Antagonizing Protein. </w:t>
      </w:r>
      <w:r w:rsidRPr="00951216">
        <w:rPr>
          <w:u w:val="single"/>
        </w:rPr>
        <w:t>mBio</w:t>
      </w:r>
      <w:r w:rsidRPr="00951216">
        <w:t xml:space="preserve">. 2023 Apr 25;14(2):e0016123. PubMed Central PMCID: PMC10128041. </w:t>
      </w:r>
    </w:p>
    <w:p w14:paraId="708B7FD9" w14:textId="77777777" w:rsidR="008D0FD8" w:rsidRPr="00951216" w:rsidRDefault="00FD6E9B" w:rsidP="008D0FD8">
      <w:pPr>
        <w:pStyle w:val="citationUlliParagraph"/>
        <w:numPr>
          <w:ilvl w:val="1"/>
          <w:numId w:val="3"/>
        </w:numPr>
        <w:ind w:left="750"/>
      </w:pPr>
      <w:r w:rsidRPr="00951216">
        <w:rPr>
          <w:b/>
        </w:rPr>
        <w:t>Morrison JH</w:t>
      </w:r>
      <w:r w:rsidRPr="00951216">
        <w:t xml:space="preserve">, Guevara RB, Marcano AC, Saenz DT, Fadel HJ, Rogstad DK, Poeschla EM. Feline immunodeficiency virus envelope glycoproteins antagonize tetherin through a distinctive mechanism that requires virion incorporation. </w:t>
      </w:r>
      <w:r w:rsidRPr="00951216">
        <w:rPr>
          <w:u w:val="single"/>
        </w:rPr>
        <w:t>J Virol</w:t>
      </w:r>
      <w:r w:rsidR="006B2B37" w:rsidRPr="00951216">
        <w:rPr>
          <w:u w:val="single"/>
        </w:rPr>
        <w:t>ogy</w:t>
      </w:r>
      <w:r w:rsidRPr="00951216">
        <w:t xml:space="preserve">. 2014 Mar;88(6):3255-72. PubMed Central PMCID: PMC3957917. </w:t>
      </w:r>
    </w:p>
    <w:p w14:paraId="017287D2" w14:textId="77777777" w:rsidR="008D0FD8" w:rsidRPr="00951216" w:rsidRDefault="00B6461A" w:rsidP="008D0FD8">
      <w:pPr>
        <w:pStyle w:val="citationUlliParagraph"/>
        <w:numPr>
          <w:ilvl w:val="1"/>
          <w:numId w:val="3"/>
        </w:numPr>
        <w:ind w:left="750"/>
      </w:pPr>
      <w:r w:rsidRPr="00951216">
        <w:t>Bester</w:t>
      </w:r>
      <w:r w:rsidRPr="00951216">
        <w:rPr>
          <w:spacing w:val="-3"/>
        </w:rPr>
        <w:t xml:space="preserve"> </w:t>
      </w:r>
      <w:r w:rsidRPr="00951216">
        <w:t>S,</w:t>
      </w:r>
      <w:r w:rsidRPr="00951216">
        <w:rPr>
          <w:spacing w:val="-3"/>
        </w:rPr>
        <w:t xml:space="preserve"> </w:t>
      </w:r>
      <w:r w:rsidRPr="00951216">
        <w:t>Wei</w:t>
      </w:r>
      <w:r w:rsidRPr="00951216">
        <w:rPr>
          <w:spacing w:val="-3"/>
        </w:rPr>
        <w:t xml:space="preserve"> </w:t>
      </w:r>
      <w:r w:rsidRPr="00951216">
        <w:t>G,</w:t>
      </w:r>
      <w:r w:rsidRPr="00951216">
        <w:rPr>
          <w:spacing w:val="-3"/>
        </w:rPr>
        <w:t xml:space="preserve"> </w:t>
      </w:r>
      <w:r w:rsidRPr="00951216">
        <w:t>Zhao</w:t>
      </w:r>
      <w:r w:rsidRPr="00951216">
        <w:rPr>
          <w:spacing w:val="-3"/>
        </w:rPr>
        <w:t xml:space="preserve"> </w:t>
      </w:r>
      <w:r w:rsidRPr="00951216">
        <w:t>H,</w:t>
      </w:r>
      <w:r w:rsidRPr="00951216">
        <w:rPr>
          <w:spacing w:val="-3"/>
        </w:rPr>
        <w:t xml:space="preserve"> </w:t>
      </w:r>
      <w:r w:rsidRPr="00951216">
        <w:t>Adu-Ampratwum</w:t>
      </w:r>
      <w:r w:rsidRPr="00951216">
        <w:rPr>
          <w:spacing w:val="-3"/>
        </w:rPr>
        <w:t xml:space="preserve"> </w:t>
      </w:r>
      <w:r w:rsidRPr="00951216">
        <w:t>D,</w:t>
      </w:r>
      <w:r w:rsidRPr="00951216">
        <w:rPr>
          <w:spacing w:val="-3"/>
        </w:rPr>
        <w:t xml:space="preserve"> </w:t>
      </w:r>
      <w:r w:rsidRPr="00951216">
        <w:t>Iqbal</w:t>
      </w:r>
      <w:r w:rsidRPr="00951216">
        <w:rPr>
          <w:spacing w:val="-3"/>
        </w:rPr>
        <w:t xml:space="preserve"> </w:t>
      </w:r>
      <w:r w:rsidRPr="00951216">
        <w:t>N,</w:t>
      </w:r>
      <w:r w:rsidRPr="00951216">
        <w:rPr>
          <w:spacing w:val="-3"/>
        </w:rPr>
        <w:t xml:space="preserve"> </w:t>
      </w:r>
      <w:r w:rsidRPr="00951216">
        <w:t>Courouble</w:t>
      </w:r>
      <w:r w:rsidRPr="00951216">
        <w:rPr>
          <w:spacing w:val="-3"/>
        </w:rPr>
        <w:t xml:space="preserve"> </w:t>
      </w:r>
      <w:r w:rsidRPr="00951216">
        <w:t>V,</w:t>
      </w:r>
      <w:r w:rsidRPr="00951216">
        <w:rPr>
          <w:spacing w:val="-3"/>
        </w:rPr>
        <w:t xml:space="preserve"> </w:t>
      </w:r>
      <w:r w:rsidRPr="00951216">
        <w:t>Francis</w:t>
      </w:r>
      <w:r w:rsidRPr="00951216">
        <w:rPr>
          <w:spacing w:val="-3"/>
        </w:rPr>
        <w:t xml:space="preserve"> </w:t>
      </w:r>
      <w:r w:rsidRPr="00951216">
        <w:t>A,</w:t>
      </w:r>
      <w:r w:rsidRPr="00951216">
        <w:rPr>
          <w:spacing w:val="-3"/>
        </w:rPr>
        <w:t xml:space="preserve"> </w:t>
      </w:r>
      <w:r w:rsidRPr="00951216">
        <w:t>Annamalai</w:t>
      </w:r>
      <w:r w:rsidRPr="00951216">
        <w:rPr>
          <w:spacing w:val="-3"/>
        </w:rPr>
        <w:t xml:space="preserve"> </w:t>
      </w:r>
      <w:r w:rsidRPr="00951216">
        <w:t>A,</w:t>
      </w:r>
      <w:r w:rsidRPr="00951216">
        <w:rPr>
          <w:spacing w:val="-3"/>
        </w:rPr>
        <w:t xml:space="preserve"> </w:t>
      </w:r>
      <w:r w:rsidRPr="00951216">
        <w:t>Singh</w:t>
      </w:r>
      <w:r w:rsidRPr="00951216">
        <w:rPr>
          <w:spacing w:val="-3"/>
        </w:rPr>
        <w:t xml:space="preserve"> </w:t>
      </w:r>
      <w:r w:rsidRPr="00951216">
        <w:t xml:space="preserve">PK, Shkriabai N, Van Blerkom P, </w:t>
      </w:r>
      <w:r w:rsidRPr="00951216">
        <w:rPr>
          <w:b/>
        </w:rPr>
        <w:t>Morrison J</w:t>
      </w:r>
      <w:r w:rsidRPr="00951216">
        <w:t>, Poeschla EM, Engelman A, Melikyan G, Griffin P, Fuchs JR Asturias</w:t>
      </w:r>
      <w:r w:rsidRPr="00951216">
        <w:rPr>
          <w:spacing w:val="-3"/>
        </w:rPr>
        <w:t xml:space="preserve"> </w:t>
      </w:r>
      <w:r w:rsidRPr="00951216">
        <w:t>F,</w:t>
      </w:r>
      <w:r w:rsidRPr="00951216">
        <w:rPr>
          <w:spacing w:val="-3"/>
        </w:rPr>
        <w:t xml:space="preserve"> </w:t>
      </w:r>
      <w:r w:rsidRPr="00951216">
        <w:t>Kvaratskhelia</w:t>
      </w:r>
      <w:r w:rsidRPr="00951216">
        <w:rPr>
          <w:spacing w:val="-3"/>
        </w:rPr>
        <w:t xml:space="preserve"> </w:t>
      </w:r>
      <w:r w:rsidRPr="00951216">
        <w:t>M.</w:t>
      </w:r>
      <w:r w:rsidRPr="00951216">
        <w:rPr>
          <w:spacing w:val="-4"/>
        </w:rPr>
        <w:t xml:space="preserve"> </w:t>
      </w:r>
      <w:r w:rsidRPr="00951216">
        <w:t>2020.</w:t>
      </w:r>
      <w:r w:rsidRPr="00951216">
        <w:rPr>
          <w:spacing w:val="-3"/>
        </w:rPr>
        <w:t xml:space="preserve"> </w:t>
      </w:r>
      <w:r w:rsidRPr="00951216">
        <w:t>Structural</w:t>
      </w:r>
      <w:r w:rsidRPr="00951216">
        <w:rPr>
          <w:spacing w:val="-3"/>
        </w:rPr>
        <w:t xml:space="preserve"> </w:t>
      </w:r>
      <w:r w:rsidRPr="00951216">
        <w:t>and</w:t>
      </w:r>
      <w:r w:rsidRPr="00951216">
        <w:rPr>
          <w:spacing w:val="-3"/>
        </w:rPr>
        <w:t xml:space="preserve"> </w:t>
      </w:r>
      <w:r w:rsidRPr="00951216">
        <w:t>mechanistic</w:t>
      </w:r>
      <w:r w:rsidRPr="00951216">
        <w:rPr>
          <w:spacing w:val="-3"/>
        </w:rPr>
        <w:t xml:space="preserve"> </w:t>
      </w:r>
      <w:r w:rsidRPr="00951216">
        <w:t>bases</w:t>
      </w:r>
      <w:r w:rsidRPr="00951216">
        <w:rPr>
          <w:spacing w:val="-3"/>
        </w:rPr>
        <w:t xml:space="preserve"> </w:t>
      </w:r>
      <w:r w:rsidRPr="00951216">
        <w:t>for</w:t>
      </w:r>
      <w:r w:rsidRPr="00951216">
        <w:rPr>
          <w:spacing w:val="-3"/>
        </w:rPr>
        <w:t xml:space="preserve"> </w:t>
      </w:r>
      <w:r w:rsidRPr="00951216">
        <w:t>a</w:t>
      </w:r>
      <w:r w:rsidRPr="00951216">
        <w:rPr>
          <w:spacing w:val="-3"/>
        </w:rPr>
        <w:t xml:space="preserve"> </w:t>
      </w:r>
      <w:r w:rsidRPr="00951216">
        <w:t>potent</w:t>
      </w:r>
      <w:r w:rsidRPr="00951216">
        <w:rPr>
          <w:spacing w:val="-3"/>
        </w:rPr>
        <w:t xml:space="preserve"> </w:t>
      </w:r>
      <w:r w:rsidRPr="00951216">
        <w:t>HIV-1</w:t>
      </w:r>
      <w:r w:rsidRPr="00951216">
        <w:rPr>
          <w:spacing w:val="-3"/>
        </w:rPr>
        <w:t xml:space="preserve"> </w:t>
      </w:r>
      <w:r w:rsidRPr="00951216">
        <w:t>capsid</w:t>
      </w:r>
      <w:r w:rsidRPr="00951216">
        <w:rPr>
          <w:spacing w:val="-3"/>
        </w:rPr>
        <w:t xml:space="preserve"> </w:t>
      </w:r>
      <w:r w:rsidRPr="00951216">
        <w:t xml:space="preserve">inhibitor. </w:t>
      </w:r>
      <w:r w:rsidRPr="00951216">
        <w:rPr>
          <w:u w:val="single"/>
        </w:rPr>
        <w:t>Science,</w:t>
      </w:r>
      <w:r w:rsidRPr="00951216">
        <w:t xml:space="preserve"> vol. 370 (6514):360-364), 2020. PMID: 33060363</w:t>
      </w:r>
    </w:p>
    <w:p w14:paraId="401BC42B" w14:textId="0BDEE7E2" w:rsidR="00B6461A" w:rsidRPr="00951216" w:rsidRDefault="00F245E4" w:rsidP="008D0FD8">
      <w:pPr>
        <w:pStyle w:val="citationUlliParagraph"/>
        <w:numPr>
          <w:ilvl w:val="1"/>
          <w:numId w:val="3"/>
        </w:numPr>
        <w:ind w:left="750"/>
      </w:pPr>
      <w:r w:rsidRPr="00951216">
        <w:t xml:space="preserve">Rebensburg S, Wei G, Larue R, Lindenberger J, Francis A, Annamalai A, </w:t>
      </w:r>
      <w:r w:rsidRPr="00951216">
        <w:rPr>
          <w:b/>
        </w:rPr>
        <w:t>Morrison J</w:t>
      </w:r>
      <w:r w:rsidRPr="00951216">
        <w:t>, Shkriabai N, Huang S,</w:t>
      </w:r>
      <w:r w:rsidRPr="00951216">
        <w:rPr>
          <w:spacing w:val="-3"/>
        </w:rPr>
        <w:t xml:space="preserve"> </w:t>
      </w:r>
      <w:r w:rsidRPr="00951216">
        <w:t>KewlaRamani</w:t>
      </w:r>
      <w:r w:rsidRPr="00951216">
        <w:rPr>
          <w:spacing w:val="-3"/>
        </w:rPr>
        <w:t xml:space="preserve"> </w:t>
      </w:r>
      <w:r w:rsidRPr="00951216">
        <w:t>V,</w:t>
      </w:r>
      <w:r w:rsidRPr="00951216">
        <w:rPr>
          <w:spacing w:val="-3"/>
        </w:rPr>
        <w:t xml:space="preserve"> </w:t>
      </w:r>
      <w:r w:rsidRPr="00951216">
        <w:t>Poeschla</w:t>
      </w:r>
      <w:r w:rsidRPr="00951216">
        <w:rPr>
          <w:spacing w:val="-3"/>
        </w:rPr>
        <w:t xml:space="preserve"> </w:t>
      </w:r>
      <w:r w:rsidRPr="00951216">
        <w:t>EM,</w:t>
      </w:r>
      <w:r w:rsidRPr="00951216">
        <w:rPr>
          <w:spacing w:val="-3"/>
        </w:rPr>
        <w:t xml:space="preserve"> </w:t>
      </w:r>
      <w:r w:rsidRPr="00951216">
        <w:t>Melikyan</w:t>
      </w:r>
      <w:r w:rsidRPr="00951216">
        <w:rPr>
          <w:spacing w:val="-3"/>
        </w:rPr>
        <w:t xml:space="preserve"> </w:t>
      </w:r>
      <w:r w:rsidRPr="00951216">
        <w:t>G,</w:t>
      </w:r>
      <w:r w:rsidRPr="00951216">
        <w:rPr>
          <w:spacing w:val="-3"/>
        </w:rPr>
        <w:t xml:space="preserve"> </w:t>
      </w:r>
      <w:r w:rsidRPr="00951216">
        <w:t>Kvaratskhelia</w:t>
      </w:r>
      <w:r w:rsidRPr="00951216">
        <w:rPr>
          <w:spacing w:val="-3"/>
        </w:rPr>
        <w:t xml:space="preserve"> </w:t>
      </w:r>
      <w:r w:rsidRPr="00951216">
        <w:t>M.</w:t>
      </w:r>
      <w:r w:rsidRPr="00951216">
        <w:rPr>
          <w:spacing w:val="-3"/>
        </w:rPr>
        <w:t xml:space="preserve"> </w:t>
      </w:r>
      <w:r w:rsidRPr="00951216">
        <w:t>2020.</w:t>
      </w:r>
      <w:r w:rsidRPr="00951216">
        <w:rPr>
          <w:spacing w:val="-3"/>
        </w:rPr>
        <w:t xml:space="preserve"> </w:t>
      </w:r>
      <w:r w:rsidRPr="00951216">
        <w:t>Sec24C</w:t>
      </w:r>
      <w:r w:rsidRPr="00951216">
        <w:rPr>
          <w:spacing w:val="-3"/>
        </w:rPr>
        <w:t xml:space="preserve"> </w:t>
      </w:r>
      <w:r w:rsidRPr="00951216">
        <w:t>contains</w:t>
      </w:r>
      <w:r w:rsidRPr="00951216">
        <w:rPr>
          <w:spacing w:val="-3"/>
        </w:rPr>
        <w:t xml:space="preserve"> </w:t>
      </w:r>
      <w:r w:rsidRPr="00951216">
        <w:t>a</w:t>
      </w:r>
      <w:r w:rsidRPr="00951216">
        <w:rPr>
          <w:spacing w:val="-3"/>
        </w:rPr>
        <w:t xml:space="preserve"> </w:t>
      </w:r>
      <w:r w:rsidRPr="00951216">
        <w:t xml:space="preserve">capsid-binding FG-motif and is a critical cytoplasmic co-factor for HIV-1 infection. </w:t>
      </w:r>
      <w:r w:rsidRPr="00951216">
        <w:rPr>
          <w:u w:val="single"/>
        </w:rPr>
        <w:t>Nature Microbiology</w:t>
      </w:r>
      <w:r w:rsidRPr="00951216">
        <w:rPr>
          <w:spacing w:val="-1"/>
        </w:rPr>
        <w:t xml:space="preserve"> </w:t>
      </w:r>
      <w:r w:rsidRPr="00951216">
        <w:t>April, 2021 (vol. 6: 434-444). doi: 10.1038/s41564-021-00868-1. PMID: 33649557.</w:t>
      </w:r>
    </w:p>
    <w:p w14:paraId="6014B91B" w14:textId="77777777" w:rsidR="0027396D" w:rsidRPr="00951216" w:rsidRDefault="0027396D" w:rsidP="001A6E50">
      <w:pPr>
        <w:pStyle w:val="citationUlliParagraph"/>
      </w:pPr>
    </w:p>
    <w:p w14:paraId="65A7C143" w14:textId="6095FADB" w:rsidR="00685CB6" w:rsidRPr="00951216" w:rsidRDefault="007F3027">
      <w:pPr>
        <w:pStyle w:val="annotation"/>
        <w:numPr>
          <w:ilvl w:val="0"/>
          <w:numId w:val="2"/>
        </w:numPr>
        <w:ind w:left="375"/>
      </w:pPr>
      <w:r w:rsidRPr="00951216">
        <w:rPr>
          <w:b/>
        </w:rPr>
        <w:t>MDA5, the RdRpᵗᵍ mouse, ADAR1.</w:t>
      </w:r>
      <w:r w:rsidRPr="00951216">
        <w:t xml:space="preserve"> </w:t>
      </w:r>
      <w:r w:rsidR="0080270D" w:rsidRPr="00951216">
        <w:t>The above interests dovetailed nicely with our move to investigat</w:t>
      </w:r>
      <w:r w:rsidR="00A84AB1" w:rsidRPr="00951216">
        <w:t>e</w:t>
      </w:r>
      <w:r w:rsidR="0080270D" w:rsidRPr="00951216">
        <w:t xml:space="preserve"> other RNA viruses besides retroviruses. As a junior faculty and primary researcher/lab manager for the last several years, I have helped oversee and contributed to research in a unique mouse model of innate immune activation. Mice transgenic for a picornaviral RNA-dependent RNA-polymerase (RdRp mice) have lifelong and robust activation of a large panel of interferon-stimulated genes</w:t>
      </w:r>
      <w:r w:rsidR="00520BEB" w:rsidRPr="00951216">
        <w:t xml:space="preserve">, </w:t>
      </w:r>
      <w:r w:rsidR="00FD0AE0" w:rsidRPr="00951216">
        <w:t>mediated by</w:t>
      </w:r>
      <w:r w:rsidR="0080270D" w:rsidRPr="00951216">
        <w:t xml:space="preserve"> chronic MDA</w:t>
      </w:r>
      <w:r w:rsidR="00235682" w:rsidRPr="00951216">
        <w:t>5</w:t>
      </w:r>
      <w:r w:rsidR="0080270D" w:rsidRPr="00951216">
        <w:t xml:space="preserve"> activation. Unlike other models of chronic MDA5 activation however, RdRp mice have </w:t>
      </w:r>
      <w:r w:rsidR="00D87640" w:rsidRPr="00951216">
        <w:t xml:space="preserve">are phenotypically healthy, with </w:t>
      </w:r>
      <w:r w:rsidR="0080270D" w:rsidRPr="00951216">
        <w:t>normal longevity, habitus</w:t>
      </w:r>
      <w:r w:rsidR="009B675C" w:rsidRPr="00951216">
        <w:t>,</w:t>
      </w:r>
      <w:r w:rsidR="0080270D" w:rsidRPr="00951216">
        <w:t xml:space="preserve"> fertility, </w:t>
      </w:r>
      <w:r w:rsidR="009B675C" w:rsidRPr="00951216">
        <w:t xml:space="preserve">etc., and </w:t>
      </w:r>
      <w:r w:rsidR="0080270D" w:rsidRPr="00951216">
        <w:t xml:space="preserve">with significant </w:t>
      </w:r>
      <w:r w:rsidR="009B675C" w:rsidRPr="00951216">
        <w:t>pan-</w:t>
      </w:r>
      <w:r w:rsidR="0080270D" w:rsidRPr="00951216">
        <w:t>viral resistance the only discernable phenotype. We have used this mouse model as a way to study organ and developmental specific innate immune activation mechanisms, investigate contribution of innate immunity to control of viral infections and study MDA5 based double-stranded RNA sensing.</w:t>
      </w:r>
      <w:r w:rsidR="00F21396" w:rsidRPr="00951216">
        <w:t xml:space="preserve"> Most recently, ADAR1 has come to the fore</w:t>
      </w:r>
      <w:r w:rsidR="007A1733" w:rsidRPr="00951216">
        <w:t xml:space="preserve">. </w:t>
      </w:r>
      <w:r w:rsidR="00916679" w:rsidRPr="00951216">
        <w:t xml:space="preserve">As detailed in the proposal before you, we </w:t>
      </w:r>
      <w:r w:rsidR="00916679" w:rsidRPr="00951216">
        <w:rPr>
          <w:rStyle w:val="Strong"/>
          <w:b w:val="0"/>
        </w:rPr>
        <w:t xml:space="preserve">now have compelling new data showing RdRpᵗᵍ mice resist obesity </w:t>
      </w:r>
      <w:r w:rsidR="000530FF" w:rsidRPr="00951216">
        <w:rPr>
          <w:rStyle w:val="Strong"/>
          <w:b w:val="0"/>
        </w:rPr>
        <w:t xml:space="preserve">and liver pathology </w:t>
      </w:r>
      <w:r w:rsidR="00916679" w:rsidRPr="00951216">
        <w:rPr>
          <w:rStyle w:val="Strong"/>
          <w:b w:val="0"/>
        </w:rPr>
        <w:t>on a high fat di</w:t>
      </w:r>
      <w:r w:rsidR="00D03B06" w:rsidRPr="00951216">
        <w:rPr>
          <w:rStyle w:val="Strong"/>
          <w:b w:val="0"/>
        </w:rPr>
        <w:t>e</w:t>
      </w:r>
      <w:r w:rsidR="00916679" w:rsidRPr="00951216">
        <w:rPr>
          <w:rStyle w:val="Strong"/>
          <w:b w:val="0"/>
        </w:rPr>
        <w:t>t.</w:t>
      </w:r>
    </w:p>
    <w:p w14:paraId="5121FCBA" w14:textId="77777777" w:rsidR="005B076F" w:rsidRPr="00951216" w:rsidRDefault="005B076F" w:rsidP="005B076F">
      <w:pPr>
        <w:pStyle w:val="annotation"/>
        <w:ind w:left="375"/>
      </w:pPr>
    </w:p>
    <w:p w14:paraId="307113A4" w14:textId="77777777" w:rsidR="00155F06" w:rsidRPr="00701DA4" w:rsidRDefault="00155F06" w:rsidP="00155F06">
      <w:pPr>
        <w:pStyle w:val="DataField11pt-Single"/>
        <w:numPr>
          <w:ilvl w:val="0"/>
          <w:numId w:val="7"/>
        </w:numPr>
        <w:rPr>
          <w:rStyle w:val="Strong"/>
          <w:b w:val="0"/>
          <w:bCs w:val="0"/>
        </w:rPr>
      </w:pPr>
      <w:r w:rsidRPr="00F9558D">
        <w:rPr>
          <w:rStyle w:val="Strong"/>
          <w:b w:val="0"/>
          <w:bCs w:val="0"/>
        </w:rPr>
        <w:t xml:space="preserve">Painter M, </w:t>
      </w:r>
      <w:r w:rsidRPr="00155F06">
        <w:rPr>
          <w:rStyle w:val="Strong"/>
          <w:bCs w:val="0"/>
        </w:rPr>
        <w:t>Morrison JH,</w:t>
      </w:r>
      <w:r w:rsidRPr="00F9558D">
        <w:rPr>
          <w:rStyle w:val="Strong"/>
          <w:b w:val="0"/>
          <w:bCs w:val="0"/>
        </w:rPr>
        <w:t xml:space="preserve"> Zoecklein L, Rinkoski T, Watzlawik J, Papke L, Warrington A, Bieber A, Matchett W, Turkowski K, </w:t>
      </w:r>
      <w:r w:rsidRPr="00155F06">
        <w:rPr>
          <w:rStyle w:val="Strong"/>
          <w:b w:val="0"/>
          <w:bCs w:val="0"/>
        </w:rPr>
        <w:t>Poeschla EM*,</w:t>
      </w:r>
      <w:r w:rsidRPr="00F9558D">
        <w:rPr>
          <w:rStyle w:val="Strong"/>
          <w:b w:val="0"/>
          <w:bCs w:val="0"/>
        </w:rPr>
        <w:t xml:space="preserve"> Rodriguez M. Antiviral Protection via RdRP-Mediated Stable </w:t>
      </w:r>
      <w:r w:rsidRPr="00F9558D">
        <w:rPr>
          <w:rStyle w:val="Strong"/>
          <w:b w:val="0"/>
          <w:bCs w:val="0"/>
        </w:rPr>
        <w:lastRenderedPageBreak/>
        <w:t xml:space="preserve">Activation of Innate Immunity. </w:t>
      </w:r>
      <w:r w:rsidRPr="00E124FF">
        <w:rPr>
          <w:rStyle w:val="Strong"/>
          <w:b w:val="0"/>
          <w:bCs w:val="0"/>
          <w:u w:val="single"/>
        </w:rPr>
        <w:t>PLoS Pathogens</w:t>
      </w:r>
      <w:r w:rsidRPr="00F9558D">
        <w:rPr>
          <w:rStyle w:val="Strong"/>
          <w:b w:val="0"/>
          <w:bCs w:val="0"/>
        </w:rPr>
        <w:t>, 2015 Dec 3;11(12):e1005311. *The corresponding author.</w:t>
      </w:r>
      <w:r w:rsidRPr="00701DA4">
        <w:rPr>
          <w:rFonts w:ascii="Segoe UI" w:hAnsi="Segoe UI" w:cs="Segoe UI"/>
          <w:color w:val="212121"/>
          <w:sz w:val="24"/>
        </w:rPr>
        <w:t xml:space="preserve"> </w:t>
      </w:r>
      <w:r w:rsidRPr="00701DA4">
        <w:t>PMID: 26633895</w:t>
      </w:r>
    </w:p>
    <w:p w14:paraId="7D0B3924" w14:textId="77777777" w:rsidR="00155F06" w:rsidRPr="00F9558D" w:rsidRDefault="00155F06" w:rsidP="00155F06">
      <w:pPr>
        <w:pStyle w:val="DataField11pt-Single"/>
        <w:numPr>
          <w:ilvl w:val="0"/>
          <w:numId w:val="7"/>
        </w:numPr>
        <w:rPr>
          <w:rStyle w:val="Strong"/>
          <w:b w:val="0"/>
          <w:bCs w:val="0"/>
        </w:rPr>
      </w:pPr>
      <w:r w:rsidRPr="00F9558D">
        <w:rPr>
          <w:rStyle w:val="Strong"/>
          <w:b w:val="0"/>
          <w:bCs w:val="0"/>
        </w:rPr>
        <w:t xml:space="preserve">Miller C, Barrett B, Chen J, </w:t>
      </w:r>
      <w:r w:rsidRPr="00155F06">
        <w:rPr>
          <w:rStyle w:val="Strong"/>
          <w:bCs w:val="0"/>
        </w:rPr>
        <w:t>Morrison JH</w:t>
      </w:r>
      <w:r w:rsidRPr="00F9558D">
        <w:rPr>
          <w:rStyle w:val="Strong"/>
          <w:b w:val="0"/>
          <w:bCs w:val="0"/>
        </w:rPr>
        <w:t xml:space="preserve">, Santiago M, </w:t>
      </w:r>
      <w:r w:rsidRPr="00155F06">
        <w:rPr>
          <w:rStyle w:val="Strong"/>
          <w:b w:val="0"/>
          <w:bCs w:val="0"/>
        </w:rPr>
        <w:t>Poeschla EM</w:t>
      </w:r>
      <w:r w:rsidRPr="00F60767">
        <w:rPr>
          <w:rStyle w:val="Strong"/>
          <w:bCs w:val="0"/>
        </w:rPr>
        <w:t xml:space="preserve">. </w:t>
      </w:r>
      <w:r w:rsidRPr="00F9558D">
        <w:rPr>
          <w:rStyle w:val="Strong"/>
          <w:b w:val="0"/>
          <w:bCs w:val="0"/>
        </w:rPr>
        <w:t xml:space="preserve">Systemic expression of a viral RNA- dependent RNA polymerase protects against retrovirus infection and disease. </w:t>
      </w:r>
      <w:r w:rsidRPr="00B00E18">
        <w:rPr>
          <w:rStyle w:val="Strong"/>
          <w:b w:val="0"/>
          <w:bCs w:val="0"/>
          <w:u w:val="single"/>
        </w:rPr>
        <w:t>Journal of Virology</w:t>
      </w:r>
      <w:r w:rsidRPr="00F9558D">
        <w:rPr>
          <w:rStyle w:val="Strong"/>
          <w:b w:val="0"/>
          <w:bCs w:val="0"/>
        </w:rPr>
        <w:t>, 2020 Feb 12. pii: JVI.00071-20. doi: 10.1128/JVI.00071-20. PMID: 2051266</w:t>
      </w:r>
    </w:p>
    <w:p w14:paraId="329C0D9E" w14:textId="7553FC40" w:rsidR="00155F06" w:rsidRDefault="00155F06" w:rsidP="00155F06">
      <w:pPr>
        <w:pStyle w:val="DataField11pt-Single"/>
        <w:numPr>
          <w:ilvl w:val="0"/>
          <w:numId w:val="7"/>
        </w:numPr>
        <w:rPr>
          <w:rStyle w:val="Strong"/>
          <w:b w:val="0"/>
          <w:bCs w:val="0"/>
        </w:rPr>
      </w:pPr>
      <w:r w:rsidRPr="00F9558D">
        <w:rPr>
          <w:rStyle w:val="Strong"/>
          <w:b w:val="0"/>
          <w:bCs w:val="0"/>
        </w:rPr>
        <w:t xml:space="preserve">Bankers L, Miller C, Liu G, Thongkittidilok C, </w:t>
      </w:r>
      <w:r w:rsidRPr="00155F06">
        <w:rPr>
          <w:rStyle w:val="Strong"/>
          <w:bCs w:val="0"/>
        </w:rPr>
        <w:t>Morrison J</w:t>
      </w:r>
      <w:r w:rsidR="00095DC1">
        <w:rPr>
          <w:rStyle w:val="Strong"/>
          <w:bCs w:val="0"/>
        </w:rPr>
        <w:t>H</w:t>
      </w:r>
      <w:r w:rsidRPr="00F9558D">
        <w:rPr>
          <w:rStyle w:val="Strong"/>
          <w:b w:val="0"/>
          <w:bCs w:val="0"/>
        </w:rPr>
        <w:t xml:space="preserve">, </w:t>
      </w:r>
      <w:r w:rsidRPr="00155F06">
        <w:rPr>
          <w:rStyle w:val="Strong"/>
          <w:b w:val="0"/>
          <w:bCs w:val="0"/>
        </w:rPr>
        <w:t>Poeschla E</w:t>
      </w:r>
      <w:r w:rsidRPr="00F9558D">
        <w:rPr>
          <w:rStyle w:val="Strong"/>
          <w:b w:val="0"/>
          <w:bCs w:val="0"/>
        </w:rPr>
        <w:t xml:space="preserve">. Development of interferon-stimulated gene expression from embryogenesis through adulthood, with and without constitutive MDA5 pathway activation. </w:t>
      </w:r>
      <w:r w:rsidRPr="00B00E18">
        <w:rPr>
          <w:rStyle w:val="Strong"/>
          <w:b w:val="0"/>
          <w:bCs w:val="0"/>
          <w:u w:val="single"/>
        </w:rPr>
        <w:t>Journal of Immunology</w:t>
      </w:r>
      <w:r w:rsidRPr="00F9558D">
        <w:rPr>
          <w:rStyle w:val="Strong"/>
          <w:b w:val="0"/>
          <w:bCs w:val="0"/>
        </w:rPr>
        <w:t>, 2020 May 15;204:2791-2807. PMID 32277054</w:t>
      </w:r>
    </w:p>
    <w:p w14:paraId="27C343B0" w14:textId="03238D01" w:rsidR="00155F06" w:rsidRPr="000145ED" w:rsidRDefault="00155F06" w:rsidP="00155F06">
      <w:pPr>
        <w:pStyle w:val="ListParagraph"/>
        <w:widowControl/>
        <w:numPr>
          <w:ilvl w:val="0"/>
          <w:numId w:val="7"/>
        </w:numPr>
        <w:tabs>
          <w:tab w:val="left" w:pos="540"/>
        </w:tabs>
        <w:contextualSpacing/>
        <w:rPr>
          <w:color w:val="000000"/>
        </w:rPr>
      </w:pPr>
      <w:r w:rsidRPr="000145ED">
        <w:rPr>
          <w:color w:val="000000"/>
        </w:rPr>
        <w:t xml:space="preserve">Miller C, </w:t>
      </w:r>
      <w:r w:rsidRPr="00155F06">
        <w:rPr>
          <w:b/>
          <w:color w:val="000000"/>
        </w:rPr>
        <w:t>Morrison JH</w:t>
      </w:r>
      <w:r w:rsidRPr="000145ED">
        <w:rPr>
          <w:color w:val="000000"/>
        </w:rPr>
        <w:t xml:space="preserve"> Bankers L, Dran R, Kendrick J, Briggs E, Ferguson V, </w:t>
      </w:r>
      <w:r w:rsidRPr="00155F06">
        <w:rPr>
          <w:color w:val="000000"/>
        </w:rPr>
        <w:t>Poeschla EM</w:t>
      </w:r>
      <w:r w:rsidRPr="000145ED">
        <w:rPr>
          <w:color w:val="000000"/>
        </w:rPr>
        <w:t xml:space="preserve">. ADAR1 haploinsufficiency and sustained viral RdRp dsRNA synthesis synergize to dysregulate RNA editing and cause multi-system interferonopathy. </w:t>
      </w:r>
      <w:r w:rsidRPr="000145ED">
        <w:rPr>
          <w:color w:val="000000"/>
          <w:u w:val="single"/>
        </w:rPr>
        <w:t>mBio</w:t>
      </w:r>
      <w:r w:rsidRPr="000145ED">
        <w:rPr>
          <w:color w:val="000000"/>
        </w:rPr>
        <w:t xml:space="preserve"> 2025. </w:t>
      </w:r>
      <w:r w:rsidRPr="001C7775">
        <w:rPr>
          <w:color w:val="000000"/>
        </w:rPr>
        <w:t>PMID: 40693792</w:t>
      </w:r>
    </w:p>
    <w:p w14:paraId="18705205" w14:textId="77777777" w:rsidR="00DF05E6" w:rsidRPr="00951216" w:rsidRDefault="00DF05E6" w:rsidP="00DF05E6">
      <w:pPr>
        <w:pStyle w:val="citationUlliParagraph"/>
        <w:ind w:left="390"/>
      </w:pPr>
    </w:p>
    <w:p w14:paraId="7C66A19F" w14:textId="77777777" w:rsidR="00E610BA" w:rsidRPr="00951216" w:rsidRDefault="00644835">
      <w:pPr>
        <w:pStyle w:val="annotation"/>
        <w:numPr>
          <w:ilvl w:val="0"/>
          <w:numId w:val="2"/>
        </w:numPr>
        <w:ind w:left="375"/>
      </w:pPr>
      <w:r w:rsidRPr="00951216">
        <w:rPr>
          <w:b/>
        </w:rPr>
        <w:t>Emerging virus work</w:t>
      </w:r>
      <w:r w:rsidR="001834F2" w:rsidRPr="00951216">
        <w:rPr>
          <w:b/>
        </w:rPr>
        <w:t xml:space="preserve"> (SAR-COV-2, </w:t>
      </w:r>
      <w:r w:rsidR="001806E7" w:rsidRPr="00951216">
        <w:rPr>
          <w:b/>
        </w:rPr>
        <w:t xml:space="preserve">Pteropid </w:t>
      </w:r>
      <w:r w:rsidR="001834F2" w:rsidRPr="00951216">
        <w:rPr>
          <w:b/>
        </w:rPr>
        <w:t xml:space="preserve">bat </w:t>
      </w:r>
      <w:r w:rsidR="0068274B" w:rsidRPr="00951216">
        <w:rPr>
          <w:b/>
        </w:rPr>
        <w:t xml:space="preserve">antiviral </w:t>
      </w:r>
      <w:r w:rsidR="001834F2" w:rsidRPr="00951216">
        <w:rPr>
          <w:b/>
        </w:rPr>
        <w:t>restriction mechanisms)</w:t>
      </w:r>
      <w:r w:rsidRPr="00951216">
        <w:t>. Since the COVID pandemic</w:t>
      </w:r>
      <w:r w:rsidR="00A27723" w:rsidRPr="00951216">
        <w:t>,</w:t>
      </w:r>
      <w:r w:rsidRPr="00951216">
        <w:t xml:space="preserve"> I collaborated to understand more about how SARS-CoV-2 is evolving to adapt to human innate immun</w:t>
      </w:r>
      <w:r w:rsidR="003F0593" w:rsidRPr="00951216">
        <w:t>e responses</w:t>
      </w:r>
      <w:r w:rsidRPr="00951216">
        <w:t>. This ongoing research has demonstrated that SARS-CoV-2 has become more resistant to human innate immunity</w:t>
      </w:r>
      <w:r w:rsidR="008B57D1" w:rsidRPr="00951216">
        <w:t xml:space="preserve">. Specifically, </w:t>
      </w:r>
      <w:r w:rsidRPr="00951216">
        <w:t xml:space="preserve">we are working </w:t>
      </w:r>
      <w:r w:rsidR="00861C91" w:rsidRPr="00951216">
        <w:t xml:space="preserve">in </w:t>
      </w:r>
      <w:r w:rsidR="00A71288" w:rsidRPr="00951216">
        <w:t xml:space="preserve">close </w:t>
      </w:r>
      <w:r w:rsidR="00861C91" w:rsidRPr="00951216">
        <w:t>tandem with the Mario Santia</w:t>
      </w:r>
      <w:r w:rsidR="00E212BB" w:rsidRPr="00951216">
        <w:t>g</w:t>
      </w:r>
      <w:r w:rsidR="00861C91" w:rsidRPr="00951216">
        <w:t xml:space="preserve">o lab in our division </w:t>
      </w:r>
      <w:r w:rsidRPr="00951216">
        <w:t>towards uncovering the</w:t>
      </w:r>
      <w:r w:rsidR="006657CD" w:rsidRPr="00951216">
        <w:t xml:space="preserve"> mechanisms of</w:t>
      </w:r>
      <w:r w:rsidRPr="00951216">
        <w:t xml:space="preserve"> viral </w:t>
      </w:r>
      <w:r w:rsidR="0047495D" w:rsidRPr="00951216">
        <w:t>adaptation</w:t>
      </w:r>
      <w:r w:rsidR="00A46933" w:rsidRPr="00951216">
        <w:t xml:space="preserve"> to the IFN-1 system</w:t>
      </w:r>
      <w:r w:rsidR="0047495D" w:rsidRPr="00951216">
        <w:t>.</w:t>
      </w:r>
      <w:r w:rsidR="0075793E" w:rsidRPr="00951216">
        <w:t xml:space="preserve"> </w:t>
      </w:r>
    </w:p>
    <w:p w14:paraId="3E74D30C" w14:textId="16BCDEB7" w:rsidR="00685CB6" w:rsidRPr="00951216" w:rsidRDefault="00E610BA" w:rsidP="00E610BA">
      <w:pPr>
        <w:pStyle w:val="annotation"/>
        <w:ind w:left="375"/>
      </w:pPr>
      <w:r w:rsidRPr="00951216">
        <w:rPr>
          <w:b/>
        </w:rPr>
        <w:t xml:space="preserve">   </w:t>
      </w:r>
      <w:r w:rsidR="0075793E" w:rsidRPr="00951216">
        <w:t xml:space="preserve">I identified a specific </w:t>
      </w:r>
      <w:r w:rsidR="00556FB5" w:rsidRPr="00951216">
        <w:t>dominantly acting</w:t>
      </w:r>
      <w:r w:rsidR="00763B95" w:rsidRPr="00951216">
        <w:t>,</w:t>
      </w:r>
      <w:r w:rsidR="00556FB5" w:rsidRPr="00951216">
        <w:t xml:space="preserve"> </w:t>
      </w:r>
      <w:r w:rsidR="0075793E" w:rsidRPr="00951216">
        <w:t xml:space="preserve">post-entry restriction </w:t>
      </w:r>
      <w:r w:rsidR="00AE42C2" w:rsidRPr="00951216">
        <w:t xml:space="preserve">activity </w:t>
      </w:r>
      <w:r w:rsidR="00CF4E97" w:rsidRPr="00951216">
        <w:t>against</w:t>
      </w:r>
      <w:r w:rsidR="0075793E" w:rsidRPr="00951216">
        <w:t xml:space="preserve"> primate lentiviruses (non-primate lenti</w:t>
      </w:r>
      <w:r w:rsidR="00955665" w:rsidRPr="00951216">
        <w:t>viruses</w:t>
      </w:r>
      <w:r w:rsidR="0075793E" w:rsidRPr="00951216">
        <w:t xml:space="preserve"> such as FIV and EIAV are unaffected</w:t>
      </w:r>
      <w:r w:rsidR="00E41FC4" w:rsidRPr="00951216">
        <w:t>, demonstrating specificity characteristic of restriction</w:t>
      </w:r>
      <w:r w:rsidR="0075793E" w:rsidRPr="00951216">
        <w:t xml:space="preserve">) in cells of the fruit bat </w:t>
      </w:r>
      <w:r w:rsidR="0075793E" w:rsidRPr="00951216">
        <w:rPr>
          <w:i/>
        </w:rPr>
        <w:t>Pteropus alecto</w:t>
      </w:r>
      <w:r w:rsidR="0075793E" w:rsidRPr="00951216">
        <w:t>, which is a Nipah virus reservoir species</w:t>
      </w:r>
      <w:r w:rsidR="004A6B11" w:rsidRPr="00951216">
        <w:t xml:space="preserve"> and also harbors replicating gammaretroviruses</w:t>
      </w:r>
      <w:r w:rsidR="003A00B4" w:rsidRPr="00951216">
        <w:t xml:space="preserve"> </w:t>
      </w:r>
      <w:r w:rsidR="00955665" w:rsidRPr="00951216">
        <w:t>(third paper below).</w:t>
      </w:r>
    </w:p>
    <w:p w14:paraId="5E762DF8" w14:textId="77777777" w:rsidR="008D6A63" w:rsidRPr="00951216" w:rsidRDefault="008D6A63" w:rsidP="008D6A63">
      <w:pPr>
        <w:pStyle w:val="annotation"/>
        <w:ind w:left="375"/>
      </w:pPr>
    </w:p>
    <w:p w14:paraId="722219D2" w14:textId="77777777" w:rsidR="0075793E" w:rsidRPr="00951216" w:rsidRDefault="008E2BED" w:rsidP="0075793E">
      <w:pPr>
        <w:pStyle w:val="DataField11pt-Single"/>
        <w:numPr>
          <w:ilvl w:val="0"/>
          <w:numId w:val="8"/>
        </w:numPr>
        <w:rPr>
          <w:rStyle w:val="Strong"/>
          <w:b w:val="0"/>
          <w:bCs w:val="0"/>
          <w:szCs w:val="22"/>
        </w:rPr>
      </w:pPr>
      <w:r w:rsidRPr="00951216">
        <w:rPr>
          <w:rStyle w:val="Strong"/>
          <w:b w:val="0"/>
          <w:szCs w:val="22"/>
        </w:rPr>
        <w:t xml:space="preserve">Guo K, Barrett S, </w:t>
      </w:r>
      <w:r w:rsidRPr="00951216">
        <w:rPr>
          <w:rStyle w:val="Strong"/>
          <w:szCs w:val="22"/>
        </w:rPr>
        <w:t>Morrison JH</w:t>
      </w:r>
      <w:r w:rsidRPr="00951216">
        <w:rPr>
          <w:rStyle w:val="Strong"/>
          <w:b w:val="0"/>
          <w:szCs w:val="22"/>
        </w:rPr>
        <w:t xml:space="preserve">, Mickens K, Vladar EK, Hasenkrug K, Poeschla EM*, Santiago ML*. Interferon resistance of emerging SARS-DoV-2 variants. </w:t>
      </w:r>
      <w:r w:rsidRPr="00951216">
        <w:rPr>
          <w:rStyle w:val="Strong"/>
          <w:b w:val="0"/>
          <w:szCs w:val="22"/>
          <w:u w:val="single"/>
        </w:rPr>
        <w:t>Proceedings of the National Academy of Sciences USA</w:t>
      </w:r>
      <w:r w:rsidRPr="00951216">
        <w:rPr>
          <w:rStyle w:val="Strong"/>
          <w:b w:val="0"/>
          <w:szCs w:val="22"/>
        </w:rPr>
        <w:t>, 2022 (August), 119(32):e2203760119. PMID: 35867811. *Co-corresponding authors.</w:t>
      </w:r>
    </w:p>
    <w:p w14:paraId="52BF2CDF" w14:textId="22C4C764" w:rsidR="00685CB6" w:rsidRPr="00951216" w:rsidRDefault="00FD6E9B" w:rsidP="0075793E">
      <w:pPr>
        <w:pStyle w:val="DataField11pt-Single"/>
        <w:numPr>
          <w:ilvl w:val="0"/>
          <w:numId w:val="8"/>
        </w:numPr>
        <w:rPr>
          <w:szCs w:val="22"/>
        </w:rPr>
      </w:pPr>
      <w:r w:rsidRPr="00951216">
        <w:rPr>
          <w:szCs w:val="22"/>
        </w:rPr>
        <w:t xml:space="preserve">Niemeyer BF, Miller CM, Ledesma-Feliciano C, </w:t>
      </w:r>
      <w:r w:rsidRPr="00951216">
        <w:rPr>
          <w:b/>
          <w:szCs w:val="22"/>
        </w:rPr>
        <w:t>Morrison JH</w:t>
      </w:r>
      <w:r w:rsidRPr="00951216">
        <w:rPr>
          <w:szCs w:val="22"/>
        </w:rPr>
        <w:t xml:space="preserve">, Jimenez-Valdes R, Clifton C, Poeschla EM, Benam KH. Broad antiviral and anti-inflammatory efficacy of nafamostat against SARS-CoV-2 and seasonal coronaviruses in primary human bronchiolar epithelia. </w:t>
      </w:r>
      <w:r w:rsidRPr="00951216">
        <w:rPr>
          <w:szCs w:val="22"/>
          <w:u w:val="single"/>
        </w:rPr>
        <w:t>Nano Sel</w:t>
      </w:r>
      <w:r w:rsidRPr="00951216">
        <w:rPr>
          <w:szCs w:val="22"/>
        </w:rPr>
        <w:t xml:space="preserve">. 2022 Feb;3(2):437-449. PubMed Central PMCID: PMC8441815. </w:t>
      </w:r>
    </w:p>
    <w:p w14:paraId="729E7BC6" w14:textId="77777777" w:rsidR="0075793E" w:rsidRPr="00951216" w:rsidRDefault="0075793E" w:rsidP="0075793E">
      <w:pPr>
        <w:pStyle w:val="citationUlliParagraph"/>
        <w:numPr>
          <w:ilvl w:val="0"/>
          <w:numId w:val="8"/>
        </w:numPr>
      </w:pPr>
      <w:r w:rsidRPr="00951216">
        <w:rPr>
          <w:b/>
        </w:rPr>
        <w:t>Morrison JH</w:t>
      </w:r>
      <w:r w:rsidRPr="00951216">
        <w:t xml:space="preserve">, Miller C, Bankers L, Crameri G, Wang LF, Poeschla EM. A potent post-entry restriction to primate lentiviruses in a Yinpterochiropteran bat. </w:t>
      </w:r>
      <w:r w:rsidRPr="00951216">
        <w:rPr>
          <w:u w:val="single"/>
        </w:rPr>
        <w:t>mBio</w:t>
      </w:r>
      <w:r w:rsidRPr="00951216">
        <w:t xml:space="preserve">. 2020 Sep 15;11(5) PubMed Central PMCID: PMC7492736. </w:t>
      </w:r>
    </w:p>
    <w:p w14:paraId="3C49B481" w14:textId="77777777" w:rsidR="0075793E" w:rsidRPr="00951216" w:rsidRDefault="0075793E" w:rsidP="0075793E">
      <w:pPr>
        <w:pStyle w:val="DataField11pt-Single"/>
        <w:ind w:left="360"/>
        <w:rPr>
          <w:szCs w:val="22"/>
        </w:rPr>
      </w:pPr>
    </w:p>
    <w:p w14:paraId="0B2942F4" w14:textId="77777777" w:rsidR="00685CB6" w:rsidRPr="00951216" w:rsidRDefault="00FD6E9B">
      <w:r w:rsidRPr="00951216">
        <w:rPr>
          <w:u w:val="single"/>
        </w:rPr>
        <w:t>Complete List of Published Work in My Bibliography:</w:t>
      </w:r>
      <w:r w:rsidRPr="00951216">
        <w:br/>
      </w:r>
      <w:hyperlink r:id="rId5" w:history="1">
        <w:r w:rsidR="00685CB6" w:rsidRPr="00951216">
          <w:rPr>
            <w:color w:val="0000EE"/>
            <w:u w:val="single"/>
          </w:rPr>
          <w:t>https://www.ncbi.nlm.nih.gov/myncbi/1dWGeGcoZq05D/bibliography/public/</w:t>
        </w:r>
      </w:hyperlink>
    </w:p>
    <w:sectPr w:rsidR="00685CB6" w:rsidRPr="0095121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AE95533"/>
    <w:multiLevelType w:val="hybridMultilevel"/>
    <w:tmpl w:val="AEB6F91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D5A"/>
    <w:multiLevelType w:val="hybridMultilevel"/>
    <w:tmpl w:val="CABE7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A0C93"/>
    <w:multiLevelType w:val="hybridMultilevel"/>
    <w:tmpl w:val="16447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591021">
    <w:abstractNumId w:val="0"/>
  </w:num>
  <w:num w:numId="2" w16cid:durableId="247737401">
    <w:abstractNumId w:val="1"/>
  </w:num>
  <w:num w:numId="3" w16cid:durableId="1131438730">
    <w:abstractNumId w:val="2"/>
  </w:num>
  <w:num w:numId="4" w16cid:durableId="3559970">
    <w:abstractNumId w:val="3"/>
  </w:num>
  <w:num w:numId="5" w16cid:durableId="2048144465">
    <w:abstractNumId w:val="4"/>
  </w:num>
  <w:num w:numId="6" w16cid:durableId="1067068425">
    <w:abstractNumId w:val="5"/>
  </w:num>
  <w:num w:numId="7" w16cid:durableId="328096315">
    <w:abstractNumId w:val="6"/>
  </w:num>
  <w:num w:numId="8" w16cid:durableId="1634947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B6"/>
    <w:rsid w:val="00014379"/>
    <w:rsid w:val="00021D71"/>
    <w:rsid w:val="00026954"/>
    <w:rsid w:val="00032AA7"/>
    <w:rsid w:val="00037490"/>
    <w:rsid w:val="000515E6"/>
    <w:rsid w:val="000530FF"/>
    <w:rsid w:val="000773EB"/>
    <w:rsid w:val="00087184"/>
    <w:rsid w:val="00095DC1"/>
    <w:rsid w:val="000968F0"/>
    <w:rsid w:val="000B503D"/>
    <w:rsid w:val="000B6B6F"/>
    <w:rsid w:val="000C5782"/>
    <w:rsid w:val="000D035E"/>
    <w:rsid w:val="000D6FC2"/>
    <w:rsid w:val="000E0C78"/>
    <w:rsid w:val="000E1292"/>
    <w:rsid w:val="00155F06"/>
    <w:rsid w:val="00176A99"/>
    <w:rsid w:val="001806E7"/>
    <w:rsid w:val="001834F2"/>
    <w:rsid w:val="001A241C"/>
    <w:rsid w:val="001A6E50"/>
    <w:rsid w:val="001B57C8"/>
    <w:rsid w:val="0020047B"/>
    <w:rsid w:val="00226BBC"/>
    <w:rsid w:val="00235682"/>
    <w:rsid w:val="002474DA"/>
    <w:rsid w:val="00252A40"/>
    <w:rsid w:val="00266A9F"/>
    <w:rsid w:val="00273637"/>
    <w:rsid w:val="0027396D"/>
    <w:rsid w:val="00287999"/>
    <w:rsid w:val="0029103A"/>
    <w:rsid w:val="002A2BC1"/>
    <w:rsid w:val="002D4E75"/>
    <w:rsid w:val="002F0FD0"/>
    <w:rsid w:val="002F15A8"/>
    <w:rsid w:val="003161B9"/>
    <w:rsid w:val="0032410F"/>
    <w:rsid w:val="00324B01"/>
    <w:rsid w:val="00344213"/>
    <w:rsid w:val="003530A3"/>
    <w:rsid w:val="00356991"/>
    <w:rsid w:val="003A00B4"/>
    <w:rsid w:val="003B2FD0"/>
    <w:rsid w:val="003F0593"/>
    <w:rsid w:val="00405B03"/>
    <w:rsid w:val="00416A53"/>
    <w:rsid w:val="004217BC"/>
    <w:rsid w:val="004439AD"/>
    <w:rsid w:val="00464836"/>
    <w:rsid w:val="00466583"/>
    <w:rsid w:val="0047495D"/>
    <w:rsid w:val="004A6B11"/>
    <w:rsid w:val="004B12AF"/>
    <w:rsid w:val="004B4F0D"/>
    <w:rsid w:val="004B5F54"/>
    <w:rsid w:val="004F7DFF"/>
    <w:rsid w:val="00520ADE"/>
    <w:rsid w:val="00520BEB"/>
    <w:rsid w:val="00555C2F"/>
    <w:rsid w:val="00556FB5"/>
    <w:rsid w:val="00594BA8"/>
    <w:rsid w:val="005A6675"/>
    <w:rsid w:val="005B076F"/>
    <w:rsid w:val="005B2C15"/>
    <w:rsid w:val="00602F56"/>
    <w:rsid w:val="00604B37"/>
    <w:rsid w:val="00633CD2"/>
    <w:rsid w:val="00635553"/>
    <w:rsid w:val="006425A9"/>
    <w:rsid w:val="00644835"/>
    <w:rsid w:val="00645EAA"/>
    <w:rsid w:val="006657CD"/>
    <w:rsid w:val="0068274B"/>
    <w:rsid w:val="00685CB6"/>
    <w:rsid w:val="006926D8"/>
    <w:rsid w:val="006A0BEE"/>
    <w:rsid w:val="006B2B37"/>
    <w:rsid w:val="006D5BAC"/>
    <w:rsid w:val="006D5ED3"/>
    <w:rsid w:val="006D795A"/>
    <w:rsid w:val="006E3A42"/>
    <w:rsid w:val="006F59F1"/>
    <w:rsid w:val="0070235F"/>
    <w:rsid w:val="007156F1"/>
    <w:rsid w:val="0075793E"/>
    <w:rsid w:val="00763B95"/>
    <w:rsid w:val="007A051A"/>
    <w:rsid w:val="007A1733"/>
    <w:rsid w:val="007D135F"/>
    <w:rsid w:val="007D2B9C"/>
    <w:rsid w:val="007E13AC"/>
    <w:rsid w:val="007E7F99"/>
    <w:rsid w:val="007F3027"/>
    <w:rsid w:val="0080270D"/>
    <w:rsid w:val="00860C36"/>
    <w:rsid w:val="00861C91"/>
    <w:rsid w:val="00871239"/>
    <w:rsid w:val="00871D60"/>
    <w:rsid w:val="008970F6"/>
    <w:rsid w:val="008A6905"/>
    <w:rsid w:val="008B57D1"/>
    <w:rsid w:val="008D0FD8"/>
    <w:rsid w:val="008D6A63"/>
    <w:rsid w:val="008E2BED"/>
    <w:rsid w:val="00915EA3"/>
    <w:rsid w:val="00916679"/>
    <w:rsid w:val="00935053"/>
    <w:rsid w:val="00945EFC"/>
    <w:rsid w:val="00947C3A"/>
    <w:rsid w:val="00951216"/>
    <w:rsid w:val="00955665"/>
    <w:rsid w:val="009774E2"/>
    <w:rsid w:val="00977E58"/>
    <w:rsid w:val="009B675C"/>
    <w:rsid w:val="009D0C81"/>
    <w:rsid w:val="009E1A4B"/>
    <w:rsid w:val="009E7FB7"/>
    <w:rsid w:val="00A10351"/>
    <w:rsid w:val="00A16013"/>
    <w:rsid w:val="00A27723"/>
    <w:rsid w:val="00A308C2"/>
    <w:rsid w:val="00A37EF1"/>
    <w:rsid w:val="00A42E74"/>
    <w:rsid w:val="00A46933"/>
    <w:rsid w:val="00A46F0E"/>
    <w:rsid w:val="00A533C6"/>
    <w:rsid w:val="00A71288"/>
    <w:rsid w:val="00A84AB1"/>
    <w:rsid w:val="00AD3547"/>
    <w:rsid w:val="00AE42C2"/>
    <w:rsid w:val="00AE57DF"/>
    <w:rsid w:val="00B22814"/>
    <w:rsid w:val="00B6461A"/>
    <w:rsid w:val="00B94D09"/>
    <w:rsid w:val="00B95069"/>
    <w:rsid w:val="00BA0924"/>
    <w:rsid w:val="00BA1087"/>
    <w:rsid w:val="00BB685B"/>
    <w:rsid w:val="00BE05B2"/>
    <w:rsid w:val="00C00392"/>
    <w:rsid w:val="00C03918"/>
    <w:rsid w:val="00C13CFC"/>
    <w:rsid w:val="00C14C85"/>
    <w:rsid w:val="00C24E95"/>
    <w:rsid w:val="00C27AA3"/>
    <w:rsid w:val="00C35901"/>
    <w:rsid w:val="00C42D5A"/>
    <w:rsid w:val="00C90699"/>
    <w:rsid w:val="00CB032D"/>
    <w:rsid w:val="00CF2246"/>
    <w:rsid w:val="00CF4E97"/>
    <w:rsid w:val="00D03B06"/>
    <w:rsid w:val="00D04A7E"/>
    <w:rsid w:val="00D31C40"/>
    <w:rsid w:val="00D4351A"/>
    <w:rsid w:val="00D44024"/>
    <w:rsid w:val="00D82CEA"/>
    <w:rsid w:val="00D85B70"/>
    <w:rsid w:val="00D87640"/>
    <w:rsid w:val="00DA314A"/>
    <w:rsid w:val="00DD00FF"/>
    <w:rsid w:val="00DF05E6"/>
    <w:rsid w:val="00DF136A"/>
    <w:rsid w:val="00E01978"/>
    <w:rsid w:val="00E212BB"/>
    <w:rsid w:val="00E41FC4"/>
    <w:rsid w:val="00E610BA"/>
    <w:rsid w:val="00E9044C"/>
    <w:rsid w:val="00F02D70"/>
    <w:rsid w:val="00F03A79"/>
    <w:rsid w:val="00F1120A"/>
    <w:rsid w:val="00F21396"/>
    <w:rsid w:val="00F245E4"/>
    <w:rsid w:val="00F67C2F"/>
    <w:rsid w:val="00F714E0"/>
    <w:rsid w:val="00F7211C"/>
    <w:rsid w:val="00F80147"/>
    <w:rsid w:val="00FB469C"/>
    <w:rsid w:val="00FB4F94"/>
    <w:rsid w:val="00FD0AE0"/>
    <w:rsid w:val="00FD6E9B"/>
    <w:rsid w:val="00FF2015"/>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6834"/>
  <w15:docId w15:val="{B3EEDF7B-D319-374E-8EA6-3DE28756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paragraph" w:styleId="Revision">
    <w:name w:val="Revision"/>
    <w:hidden/>
    <w:uiPriority w:val="99"/>
    <w:semiHidden/>
    <w:rsid w:val="009E7FB7"/>
    <w:rPr>
      <w:rFonts w:ascii="Arial" w:eastAsia="Arial" w:hAnsi="Arial" w:cs="Arial"/>
      <w:sz w:val="22"/>
      <w:szCs w:val="22"/>
      <w:bdr w:val="nil"/>
    </w:rPr>
  </w:style>
  <w:style w:type="paragraph" w:styleId="BodyText">
    <w:name w:val="Body Text"/>
    <w:basedOn w:val="Normal"/>
    <w:link w:val="BodyTextChar"/>
    <w:uiPriority w:val="99"/>
    <w:rsid w:val="00B6461A"/>
    <w:pPr>
      <w:autoSpaceDE w:val="0"/>
      <w:autoSpaceDN w:val="0"/>
      <w:spacing w:after="120"/>
    </w:pPr>
    <w:rPr>
      <w:rFonts w:eastAsia="Times New Roman" w:cs="Times New Roman"/>
      <w:szCs w:val="24"/>
      <w:bdr w:val="none" w:sz="0" w:space="0" w:color="auto"/>
    </w:rPr>
  </w:style>
  <w:style w:type="character" w:customStyle="1" w:styleId="BodyTextChar">
    <w:name w:val="Body Text Char"/>
    <w:basedOn w:val="DefaultParagraphFont"/>
    <w:link w:val="BodyText"/>
    <w:uiPriority w:val="99"/>
    <w:rsid w:val="00B6461A"/>
    <w:rPr>
      <w:rFonts w:ascii="Arial" w:hAnsi="Arial"/>
      <w:sz w:val="22"/>
      <w:szCs w:val="24"/>
    </w:rPr>
  </w:style>
  <w:style w:type="paragraph" w:styleId="ListParagraph">
    <w:name w:val="List Paragraph"/>
    <w:basedOn w:val="Normal"/>
    <w:uiPriority w:val="34"/>
    <w:qFormat/>
    <w:rsid w:val="00F245E4"/>
    <w:pPr>
      <w:widowControl w:val="0"/>
      <w:autoSpaceDE w:val="0"/>
      <w:autoSpaceDN w:val="0"/>
      <w:ind w:left="500" w:hanging="178"/>
    </w:pPr>
    <w:rPr>
      <w:bdr w:val="none" w:sz="0" w:space="0" w:color="auto"/>
    </w:rPr>
  </w:style>
  <w:style w:type="paragraph" w:customStyle="1" w:styleId="DataField11pt-Single">
    <w:name w:val="Data Field 11pt-Single"/>
    <w:basedOn w:val="Normal"/>
    <w:link w:val="DataField11pt-SingleChar"/>
    <w:rsid w:val="008E2BED"/>
    <w:pPr>
      <w:autoSpaceDE w:val="0"/>
      <w:autoSpaceDN w:val="0"/>
    </w:pPr>
    <w:rPr>
      <w:rFonts w:eastAsia="Times New Roman"/>
      <w:szCs w:val="20"/>
      <w:bdr w:val="none" w:sz="0" w:space="0" w:color="auto"/>
    </w:rPr>
  </w:style>
  <w:style w:type="character" w:customStyle="1" w:styleId="DataField11pt-SingleChar">
    <w:name w:val="Data Field 11pt-Single Char"/>
    <w:basedOn w:val="DefaultParagraphFont"/>
    <w:link w:val="DataField11pt-Single"/>
    <w:rsid w:val="008E2BED"/>
    <w:rPr>
      <w:rFonts w:ascii="Arial" w:hAnsi="Arial" w:cs="Arial"/>
      <w:sz w:val="22"/>
    </w:rPr>
  </w:style>
  <w:style w:type="character" w:styleId="Strong">
    <w:name w:val="Strong"/>
    <w:basedOn w:val="DefaultParagraphFont"/>
    <w:qFormat/>
    <w:rsid w:val="008E2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myncbi/1dWGeGcoZq05D/bibliography/publ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1669</Words>
  <Characters>9732</Characters>
  <Application>Microsoft Office Word</Application>
  <DocSecurity>0</DocSecurity>
  <Lines>159</Lines>
  <Paragraphs>67</Paragraphs>
  <ScaleCrop>false</ScaleCrop>
  <HeadingPairs>
    <vt:vector size="2" baseType="variant">
      <vt:variant>
        <vt:lpstr>Title</vt:lpstr>
      </vt:variant>
      <vt:variant>
        <vt:i4>1</vt:i4>
      </vt:variant>
    </vt:vector>
  </HeadingPairs>
  <TitlesOfParts>
    <vt:vector size="1" baseType="lpstr">
      <vt:lpstr>SciENCV PDF</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dc:creator>Morrison, James</dc:creator>
  <cp:lastModifiedBy>Poeschla, Eric M</cp:lastModifiedBy>
  <cp:revision>3</cp:revision>
  <cp:lastPrinted>2025-05-16T16:58:00Z</cp:lastPrinted>
  <dcterms:created xsi:type="dcterms:W3CDTF">2026-01-08T16:47:00Z</dcterms:created>
  <dcterms:modified xsi:type="dcterms:W3CDTF">2026-01-08T16:49:00Z</dcterms:modified>
</cp:coreProperties>
</file>